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笠岡市告示第２９号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総合評価方式</w:t>
      </w:r>
      <w:r>
        <w:rPr>
          <w:rFonts w:hint="eastAsia" w:ascii="ＭＳ 明朝" w:hAnsi="ＭＳ 明朝" w:eastAsia="ＭＳ 明朝"/>
        </w:rPr>
        <w:t>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令和８年３月２７日</w:t>
      </w:r>
    </w:p>
    <w:p>
      <w:pPr>
        <w:pStyle w:val="0"/>
        <w:rPr>
          <w:rFonts w:hint="eastAsia" w:ascii="ＭＳ 明朝" w:hAnsi="ＭＳ 明朝" w:eastAsia="ＭＳ 明朝"/>
        </w:rPr>
      </w:pPr>
      <w:bookmarkStart w:id="0" w:name="_GoBack"/>
      <w:bookmarkEnd w:id="0"/>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で行います。また，笠岡市事後審査型制限付一般競争入札実施要領の規定による事後審査及び笠岡市建設工事総合評価方式実施要領による入札で実施します。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大浦港</w:t>
      </w:r>
      <w:r>
        <w:rPr>
          <w:rFonts w:hint="eastAsia" w:ascii="ＭＳ 明朝" w:hAnsi="ＭＳ 明朝" w:eastAsia="ＭＳ 明朝"/>
          <w:kern w:val="0"/>
        </w:rPr>
        <w:t>1</w:t>
      </w:r>
      <w:r>
        <w:rPr>
          <w:rFonts w:hint="eastAsia" w:ascii="ＭＳ 明朝" w:hAnsi="ＭＳ 明朝" w:eastAsia="ＭＳ 明朝"/>
          <w:kern w:val="0"/>
        </w:rPr>
        <w:t>号浮桟橋長寿命化工事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飛島　地先</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契約締結日から令和８年９月３０日まで</w:t>
      </w:r>
    </w:p>
    <w:p>
      <w:pPr>
        <w:pStyle w:val="0"/>
        <w:autoSpaceDE w:val="1"/>
        <w:autoSpaceDN w:val="1"/>
        <w:adjustRightInd w:val="1"/>
        <w:ind w:firstLine="210" w:firstLineChars="100"/>
        <w:rPr>
          <w:rFonts w:hint="eastAsia" w:ascii="ＭＳ 明朝" w:hAnsi="ＭＳ 明朝" w:eastAsia="ＭＳ 明朝"/>
        </w:rPr>
      </w:pPr>
      <w:r>
        <w:rPr>
          <w:rFonts w:hint="eastAsia" w:ascii="ＭＳ 明朝" w:hAnsi="ＭＳ 明朝" w:eastAsia="ＭＳ 明朝"/>
          <w:kern w:val="0"/>
        </w:rPr>
        <w:t xml:space="preserve">(4) </w:t>
      </w:r>
      <w:r>
        <w:rPr>
          <w:rFonts w:hint="eastAsia" w:ascii="ＭＳ 明朝" w:hAnsi="ＭＳ 明朝" w:eastAsia="ＭＳ 明朝"/>
        </w:rPr>
        <w:t>工事概要　基礎工　　　　　　　　　</w:t>
      </w:r>
      <w:r>
        <w:rPr>
          <w:rFonts w:hint="eastAsia" w:ascii="ＭＳ 明朝" w:hAnsi="ＭＳ 明朝" w:eastAsia="ＭＳ 明朝"/>
        </w:rPr>
        <w:t>V=1,551m3</w:t>
      </w:r>
    </w:p>
    <w:p>
      <w:pPr>
        <w:pStyle w:val="0"/>
        <w:autoSpaceDE w:val="1"/>
        <w:autoSpaceDN w:val="1"/>
        <w:adjustRightInd w:val="1"/>
        <w:ind w:firstLine="1808" w:firstLineChars="800"/>
        <w:rPr>
          <w:rFonts w:hint="eastAsia" w:ascii="ＭＳ 明朝" w:hAnsi="ＭＳ 明朝" w:eastAsia="ＭＳ 明朝"/>
        </w:rPr>
      </w:pPr>
      <w:r>
        <w:rPr>
          <w:rFonts w:hint="eastAsia" w:ascii="ＭＳ 明朝" w:hAnsi="ＭＳ 明朝" w:eastAsia="ＭＳ 明朝"/>
        </w:rPr>
        <w:t>アンカーブロック製作工　</w:t>
      </w:r>
      <w:r>
        <w:rPr>
          <w:rFonts w:hint="eastAsia" w:ascii="ＭＳ 明朝" w:hAnsi="ＭＳ 明朝" w:eastAsia="ＭＳ 明朝"/>
        </w:rPr>
        <w:t>N=4</w:t>
      </w:r>
      <w:r>
        <w:rPr>
          <w:rFonts w:hint="eastAsia" w:ascii="ＭＳ 明朝" w:hAnsi="ＭＳ 明朝" w:eastAsia="ＭＳ 明朝"/>
        </w:rPr>
        <w:t>基</w:t>
      </w:r>
    </w:p>
    <w:p>
      <w:pPr>
        <w:pStyle w:val="0"/>
        <w:autoSpaceDE w:val="1"/>
        <w:autoSpaceDN w:val="1"/>
        <w:adjustRightInd w:val="1"/>
        <w:ind w:firstLine="1808" w:firstLineChars="800"/>
        <w:rPr>
          <w:rFonts w:hint="eastAsia" w:ascii="ＭＳ 明朝" w:hAnsi="ＭＳ 明朝" w:eastAsia="ＭＳ 明朝"/>
        </w:rPr>
      </w:pPr>
      <w:r>
        <w:rPr>
          <w:rFonts w:hint="eastAsia" w:ascii="ＭＳ 明朝" w:hAnsi="ＭＳ 明朝" w:eastAsia="ＭＳ 明朝"/>
        </w:rPr>
        <w:t>アンカーブロック設置工　</w:t>
      </w:r>
      <w:r>
        <w:rPr>
          <w:rFonts w:hint="eastAsia" w:ascii="ＭＳ 明朝" w:hAnsi="ＭＳ 明朝" w:eastAsia="ＭＳ 明朝"/>
        </w:rPr>
        <w:t>N=4</w:t>
      </w:r>
      <w:r>
        <w:rPr>
          <w:rFonts w:hint="eastAsia" w:ascii="ＭＳ 明朝" w:hAnsi="ＭＳ 明朝" w:eastAsia="ＭＳ 明朝"/>
        </w:rPr>
        <w:t>基</w:t>
      </w:r>
    </w:p>
    <w:p>
      <w:pPr>
        <w:pStyle w:val="0"/>
        <w:autoSpaceDE w:val="1"/>
        <w:autoSpaceDN w:val="1"/>
        <w:adjustRightInd w:val="1"/>
        <w:ind w:firstLine="1808" w:firstLineChars="800"/>
        <w:rPr>
          <w:rFonts w:hint="eastAsia" w:ascii="ＭＳ 明朝" w:hAnsi="ＭＳ 明朝" w:eastAsia="ＭＳ 明朝"/>
          <w:sz w:val="21"/>
        </w:rPr>
      </w:pPr>
      <w:r>
        <w:rPr>
          <w:rFonts w:hint="eastAsia" w:ascii="ＭＳ 明朝" w:hAnsi="ＭＳ 明朝" w:eastAsia="ＭＳ 明朝"/>
        </w:rPr>
        <w:t>アンカーチェーン設置工　</w:t>
      </w:r>
      <w:r>
        <w:rPr>
          <w:rFonts w:hint="eastAsia" w:ascii="ＭＳ 明朝" w:hAnsi="ＭＳ 明朝" w:eastAsia="ＭＳ 明朝"/>
        </w:rPr>
        <w:t>N=4</w:t>
      </w:r>
      <w:r>
        <w:rPr>
          <w:rFonts w:hint="eastAsia" w:ascii="ＭＳ 明朝" w:hAnsi="ＭＳ 明朝" w:eastAsia="ＭＳ 明朝"/>
        </w:rPr>
        <w:t>本　　</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「令和７年度笠岡市建設工事請負契約指名競争入札参加資格者名簿」に「土木一式」で登載されていること。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経営事項審査において，「土木一式」の総合数値が８００点以上あること。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経営事項審査において，「土木一式」の年平均完成工事高が７３，０００千円以上あること。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建設業法（昭和２４年法律第１００号）第１５条の規定に基づき，土木工事業に係る特定建設業の許可を受けていること。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対象工事に係る監理技術者を配置できること。ただし，配置予定技術者は，入札参加表明日以前に受注者と３か月以上の直接的かつ恒常的な雇用関係にある者とする。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平成２２年度以降に，国又は地方公共団体が発注した島しょ部での同種工事を元請として受注・契約し，工事を完了した実績があること。（同種工事とは，潮位・水位の変動に影響される請負金額が３５，０００千円以上の土木一式工事で，作業船（材料運搬のみに使用する運搬船は除く。）を使用したものをいう。）</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　第</w:t>
      </w:r>
      <w:r>
        <w:rPr>
          <w:rFonts w:hint="eastAsia" w:ascii="ＭＳ 明朝" w:hAnsi="ＭＳ 明朝" w:eastAsia="ＭＳ 明朝"/>
          <w:u w:val="single" w:color="auto"/>
        </w:rPr>
        <w:t>1</w:t>
      </w:r>
      <w:r>
        <w:rPr>
          <w:rFonts w:hint="eastAsia" w:ascii="ＭＳ 明朝" w:hAnsi="ＭＳ 明朝" w:eastAsia="ＭＳ 明朝"/>
          <w:u w:val="single" w:color="auto"/>
        </w:rPr>
        <w:t>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令和８年４月１６日（木）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技術資料等に関する事項</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入札に参加する者は，あらかじめ次の申請書類を持参して申請してください。</w:t>
      </w:r>
    </w:p>
    <w:p>
      <w:pPr>
        <w:pStyle w:val="0"/>
        <w:ind w:firstLine="630" w:firstLineChars="300"/>
        <w:rPr>
          <w:rFonts w:hint="eastAsia" w:ascii="ＭＳ 明朝" w:hAnsi="ＭＳ 明朝" w:eastAsia="ＭＳ 明朝"/>
          <w:highlight w:val="yellow"/>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1888" w:leftChars="299" w:hanging="1260" w:hangingChars="600"/>
        <w:rPr>
          <w:rFonts w:hint="eastAsia" w:ascii="ＭＳ 明朝" w:hAnsi="ＭＳ 明朝" w:eastAsia="ＭＳ 明朝"/>
        </w:rPr>
      </w:pPr>
      <w:r>
        <w:rPr>
          <w:rFonts w:hint="eastAsia" w:ascii="ＭＳ 明朝" w:hAnsi="ＭＳ 明朝" w:eastAsia="ＭＳ 明朝"/>
        </w:rPr>
        <w:t>申請期間　　　告示の日から令和８年４月９日（木）まで（笠岡市の休日を定める条例（平成元年条例第５０号）第１条に規定する市の休日を除く。）の午前８時３０分から午後５時００分まで</w:t>
      </w:r>
    </w:p>
    <w:p>
      <w:pPr>
        <w:pStyle w:val="0"/>
        <w:ind w:right="840"/>
        <w:rPr>
          <w:rFonts w:hint="eastAsia" w:ascii="ＭＳ 明朝" w:hAnsi="ＭＳ 明朝" w:eastAsia="ＭＳ 明朝"/>
        </w:rPr>
      </w:pPr>
      <w:r>
        <w:rPr>
          <w:rFonts w:hint="eastAsia" w:ascii="ＭＳ 明朝" w:hAnsi="ＭＳ 明朝" w:eastAsia="ＭＳ 明朝"/>
        </w:rPr>
        <w:t>　　　提出書類　　ａ　技術資料（様式第１号）</w:t>
      </w:r>
    </w:p>
    <w:p>
      <w:pPr>
        <w:pStyle w:val="0"/>
        <w:ind w:right="840"/>
        <w:rPr>
          <w:rFonts w:hint="eastAsia" w:ascii="ＭＳ 明朝" w:hAnsi="ＭＳ 明朝" w:eastAsia="ＭＳ 明朝"/>
        </w:rPr>
      </w:pPr>
      <w:r>
        <w:rPr>
          <w:rFonts w:hint="eastAsia" w:ascii="ＭＳ 明朝" w:hAnsi="ＭＳ 明朝" w:eastAsia="ＭＳ 明朝"/>
        </w:rPr>
        <w:t>　　　　　　　　　ｂ　施工実績調書（別記様式１）</w:t>
      </w:r>
    </w:p>
    <w:p>
      <w:pPr>
        <w:pStyle w:val="0"/>
        <w:ind w:firstLine="1890" w:firstLineChars="900"/>
        <w:rPr>
          <w:rFonts w:hint="eastAsia" w:ascii="ＭＳ 明朝" w:hAnsi="ＭＳ 明朝" w:eastAsia="ＭＳ 明朝"/>
        </w:rPr>
      </w:pPr>
      <w:r>
        <w:rPr>
          <w:rFonts w:hint="eastAsia" w:ascii="ＭＳ 明朝" w:hAnsi="ＭＳ 明朝" w:eastAsia="ＭＳ 明朝"/>
        </w:rPr>
        <w:t>ｃ　配置予定技術者調書（別記様式２）</w:t>
      </w:r>
    </w:p>
    <w:p>
      <w:pPr>
        <w:pStyle w:val="0"/>
        <w:ind w:firstLine="1890" w:firstLineChars="900"/>
        <w:rPr>
          <w:rFonts w:hint="eastAsia" w:ascii="ＭＳ 明朝" w:hAnsi="ＭＳ 明朝" w:eastAsia="ＭＳ 明朝"/>
        </w:rPr>
      </w:pPr>
      <w:r>
        <w:rPr>
          <w:rFonts w:hint="eastAsia" w:ascii="ＭＳ 明朝" w:hAnsi="ＭＳ 明朝" w:eastAsia="ＭＳ 明朝"/>
        </w:rPr>
        <w:t>ｄ　地域貢献に関する調書（別記様式３）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令和８年３月２７日（金）午前１０時００分から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令和８年４月　９日（木）午後５時００分まで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８年４月１０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令和８年３月２７日（金）午前１０時００分から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令和８年４月１４日（火）午後５時００分まで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入札受付期間</w:t>
      </w:r>
    </w:p>
    <w:p>
      <w:pPr>
        <w:pStyle w:val="0"/>
        <w:rPr>
          <w:rFonts w:hint="eastAsia" w:ascii="ＭＳ 明朝" w:hAnsi="ＭＳ 明朝" w:eastAsia="ＭＳ 明朝"/>
        </w:rPr>
      </w:pPr>
      <w:r>
        <w:rPr>
          <w:rFonts w:hint="eastAsia" w:ascii="ＭＳ 明朝" w:hAnsi="ＭＳ 明朝" w:eastAsia="ＭＳ 明朝"/>
        </w:rPr>
        <w:t>　　　令和８年４月１５日（水）午前９時００分から</w:t>
      </w:r>
    </w:p>
    <w:p>
      <w:pPr>
        <w:pStyle w:val="0"/>
        <w:rPr>
          <w:rFonts w:hint="eastAsia" w:ascii="ＭＳ 明朝" w:hAnsi="ＭＳ 明朝" w:eastAsia="ＭＳ 明朝"/>
        </w:rPr>
      </w:pPr>
      <w:r>
        <w:rPr>
          <w:rFonts w:hint="eastAsia" w:ascii="ＭＳ 明朝" w:hAnsi="ＭＳ 明朝" w:eastAsia="ＭＳ 明朝"/>
        </w:rPr>
        <w:t>　　　令和８年４月１６日（木）午前１０時００分まで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工事費内訳書は，岡山県電子入札共同利用システム又は笠岡市役所財政課のホームページで示した様式により作成してください。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技術資料等が適正に提出された者に対しては標準点を与え，更に技術資料等の内容に応じ加算点を与えます。なお，標準点は１００点とし，加算点の最高点数は１２点とします。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総合評価は，標準点と「総合評価方式説明書」２総合評価方式に関する事項</w:t>
      </w:r>
      <w:r>
        <w:rPr>
          <w:rFonts w:hint="eastAsia" w:ascii="ＭＳ 明朝" w:hAnsi="ＭＳ 明朝" w:eastAsia="ＭＳ 明朝"/>
        </w:rPr>
        <w:t>(1)</w:t>
      </w:r>
      <w:r>
        <w:rPr>
          <w:rFonts w:hint="eastAsia" w:ascii="ＭＳ 明朝" w:hAnsi="ＭＳ 明朝" w:eastAsia="ＭＳ 明朝"/>
        </w:rPr>
        <w:t>「入札の評価に関する基準」によって得られた加算点の合計を当該入札参加者の入札価格で除して得た数値をもって行います。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入札価格が予定価格の範囲内であって，標準点と加算点の合計を入札者の入札価格で除して得られた数値（以下「評価値」という。）が最も高い入札者を落札候補者とします。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落札候補者となるべき者の入札価格が笠岡市低入札価格調査実施要領第３条に基づく調査基準価格を下回った場合は，同要領第７条の調査を行うものとします。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2"/>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205" w:leftChars="450" w:hanging="1260" w:hangingChars="6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提出書類　　ア　事後審査型制限付一般競争入札参加資格確認申請書</w:t>
      </w:r>
    </w:p>
    <w:p>
      <w:pPr>
        <w:pStyle w:val="0"/>
        <w:ind w:left="2415" w:hanging="2415" w:hangingChars="11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w:t>
      </w:r>
      <w:r>
        <w:rPr>
          <w:rFonts w:hint="eastAsia" w:ascii="ＭＳ 明朝" w:hAnsi="ＭＳ 明朝" w:eastAsia="ＭＳ 明朝"/>
        </w:rPr>
        <w:t>の写し</w:t>
      </w:r>
    </w:p>
    <w:p>
      <w:pPr>
        <w:pStyle w:val="0"/>
        <w:ind w:left="2415" w:hanging="2415" w:hangingChars="115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ウ　平成２２年度以降に，国又は地方公共団体が発注した島しょ部での同種工事を元請として受注・契約し，工事を完了した実績を証する書類（工事実績を証明する書類として，一般財団法人日本建設情報総合センター（コリンズ）の登録内容確認書の写し等確認できる書類を添付すること。）</w:t>
      </w:r>
    </w:p>
    <w:p>
      <w:pPr>
        <w:pStyle w:val="0"/>
        <w:ind w:left="2337" w:leftChars="1028" w:hanging="178" w:hangingChars="85"/>
        <w:rPr>
          <w:rFonts w:hint="eastAsia" w:ascii="ＭＳ 明朝" w:hAnsi="ＭＳ 明朝" w:eastAsia="ＭＳ 明朝"/>
        </w:rPr>
      </w:pPr>
      <w:r>
        <w:rPr>
          <w:rFonts w:hint="eastAsia" w:ascii="ＭＳ 明朝" w:hAnsi="ＭＳ 明朝" w:eastAsia="ＭＳ 明朝"/>
        </w:rPr>
        <w:t>エ　笠岡市の市税完納証明書（発行日から１か月以内のもの。写し可）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低入札価格調査制度</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この入札には，低入札価格調査基準価格及び失格基準価格を設定しています。</w:t>
      </w:r>
    </w:p>
    <w:p>
      <w:pPr>
        <w:pStyle w:val="0"/>
        <w:ind w:left="210" w:leftChars="100" w:firstLine="0" w:firstLineChars="0"/>
        <w:rPr>
          <w:rFonts w:hint="eastAsia" w:ascii="ＭＳ 明朝" w:hAnsi="ＭＳ 明朝" w:eastAsia="ＭＳ 明朝"/>
        </w:rPr>
      </w:pPr>
      <w:r>
        <w:rPr>
          <w:rFonts w:hint="eastAsia" w:ascii="ＭＳ 明朝" w:hAnsi="ＭＳ 明朝"/>
        </w:rPr>
        <w:t>（調査基準価格及び失格基準価格の算出方法については，笠岡市ホームページを御覧ください。）</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20</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21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firstLine="420" w:firstLine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22</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1907</TotalTime>
  <Pages>7</Pages>
  <Words>76</Words>
  <Characters>4699</Characters>
  <Application>JUST Note</Application>
  <Lines>214</Lines>
  <Paragraphs>119</Paragraphs>
  <CharactersWithSpaces>4956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笠岡市</dc:creator>
  <cp:lastModifiedBy>J25077</cp:lastModifiedBy>
  <cp:lastPrinted>2026-03-25T09:31:17Z</cp:lastPrinted>
  <dcterms:created xsi:type="dcterms:W3CDTF">2018-04-12T01:51:00Z</dcterms:created>
  <dcterms:modified xsi:type="dcterms:W3CDTF">2026-03-25T09:41:07Z</dcterms:modified>
  <cp:revision>161</cp:revision>
</cp:coreProperties>
</file>