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笠岡市告示第２１４</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令和７年９月１２日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寄島配水池　色濁度計設置工事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浅口市　寄島町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契約締結日から令和８年３月３１日まで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・水質監視装置（３成分，色度・濁度・残留塩素）設置　一式</w:t>
      </w:r>
    </w:p>
    <w:p>
      <w:pPr>
        <w:pStyle w:val="0"/>
        <w:ind w:left="0" w:leftChars="800" w:firstLine="0" w:firstLineChars="0"/>
        <w:jc w:val="left"/>
        <w:rPr>
          <w:rFonts w:hint="eastAsia" w:ascii="ＭＳ 明朝" w:hAnsi="ＭＳ 明朝"/>
        </w:rPr>
      </w:pPr>
      <w:r>
        <w:rPr>
          <w:rFonts w:hint="eastAsia" w:ascii="ＭＳ 明朝" w:hAnsi="ＭＳ 明朝"/>
        </w:rPr>
        <w:t>・新庄浄水場　中央監視装置　機能増設</w:t>
      </w:r>
    </w:p>
    <w:p>
      <w:pPr>
        <w:pStyle w:val="0"/>
        <w:ind w:left="0" w:leftChars="800" w:firstLine="0" w:firstLineChars="0"/>
        <w:jc w:val="left"/>
        <w:rPr>
          <w:rFonts w:hint="eastAsia" w:ascii="ＭＳ 明朝" w:hAnsi="ＭＳ 明朝"/>
        </w:rPr>
      </w:pPr>
      <w:r>
        <w:rPr>
          <w:rFonts w:hint="eastAsia" w:ascii="ＭＳ 明朝" w:hAnsi="ＭＳ 明朝"/>
        </w:rPr>
        <w:t>　ＬＣＤ監視装置　機能増設　　　　　　　　　　　　　一式</w:t>
      </w:r>
    </w:p>
    <w:p>
      <w:pPr>
        <w:pStyle w:val="0"/>
        <w:ind w:left="0" w:leftChars="800" w:firstLine="0" w:firstLineChars="0"/>
        <w:jc w:val="left"/>
        <w:rPr>
          <w:rFonts w:hint="eastAsia" w:ascii="ＭＳ 明朝" w:hAnsi="ＭＳ 明朝"/>
        </w:rPr>
      </w:pPr>
      <w:r>
        <w:rPr>
          <w:rFonts w:hint="eastAsia" w:ascii="ＭＳ 明朝" w:hAnsi="ＭＳ 明朝"/>
        </w:rPr>
        <w:t>　制御装置盤　機能増設　　　　　　　　　　　　　　　一式</w:t>
      </w:r>
    </w:p>
    <w:p>
      <w:pPr>
        <w:pStyle w:val="0"/>
        <w:ind w:left="0" w:leftChars="800" w:firstLine="0" w:firstLineChars="0"/>
        <w:jc w:val="left"/>
        <w:rPr>
          <w:rFonts w:hint="eastAsia" w:ascii="ＭＳ 明朝" w:hAnsi="ＭＳ 明朝"/>
        </w:rPr>
      </w:pPr>
      <w:r>
        <w:rPr>
          <w:rFonts w:hint="eastAsia" w:ascii="ＭＳ 明朝" w:hAnsi="ＭＳ 明朝"/>
        </w:rPr>
        <w:t>・寄島配水池現場盤　機能増設　　　　　　　　　　　　一式</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「令和７年度笠岡市建設工事請負契約指名競争入札参加資格者名簿」に「電気」で登載されていること。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経営事項審査において，「電気」の総合評定値が５００点以上の者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経営事項審査において「電気」の年平均完成工事高が１９，０００千円以上あること。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left="420" w:leftChars="100" w:hanging="210" w:hangingChars="100"/>
        <w:rPr>
          <w:rFonts w:hint="eastAsia" w:ascii="ＭＳ 明朝" w:hAnsi="ＭＳ 明朝"/>
        </w:rPr>
      </w:pPr>
      <w:r>
        <w:rPr>
          <w:rFonts w:hint="eastAsia" w:ascii="ＭＳ 明朝" w:hAnsi="ＭＳ 明朝"/>
        </w:rPr>
        <w:t xml:space="preserve">(6) </w:t>
      </w:r>
      <w:r>
        <w:rPr>
          <w:rFonts w:hint="eastAsia" w:ascii="ＭＳ 明朝" w:hAnsi="ＭＳ 明朝" w:eastAsia="ＭＳ 明朝"/>
        </w:rPr>
        <w:t>平成２２年度以降に，国又は地方公共団体が発注した水質計装設備の設置，更新又は修繕工事を元請として受注・契約し，工事を完了した実績を有すること。</w:t>
      </w:r>
    </w:p>
    <w:p>
      <w:pPr>
        <w:pStyle w:val="0"/>
        <w:ind w:firstLine="210" w:firstLineChars="100"/>
        <w:rPr>
          <w:rFonts w:hint="default" w:ascii="ＭＳ 明朝" w:hAnsi="ＭＳ 明朝"/>
        </w:rPr>
      </w:pPr>
      <w:r>
        <w:rPr>
          <w:rFonts w:hint="eastAsia" w:ascii="ＭＳ 明朝" w:hAnsi="ＭＳ 明朝"/>
        </w:rPr>
        <w:t>(7)</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令和７年１０月２日（木）　午前１０時３６分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令和７年９月１２日（金）午前１０時００分から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令和７年９月２５日（木）午後５時００分まで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設計図書のダウンロードは入札における必須条件となっていますので御注意ください。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令和７年９月２６日（金）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令和７年９月１２日（金）午前１０時００分から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令和７年９月３０日（火）午後５時００分まで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令和７年１０月１日（水）午前９時００分から</w:t>
      </w:r>
    </w:p>
    <w:p>
      <w:pPr>
        <w:pStyle w:val="0"/>
        <w:rPr>
          <w:rFonts w:hint="default" w:ascii="ＭＳ 明朝" w:hAnsi="ＭＳ 明朝"/>
        </w:rPr>
      </w:pPr>
      <w:r>
        <w:rPr>
          <w:rFonts w:hint="eastAsia" w:ascii="ＭＳ 明朝" w:hAnsi="ＭＳ 明朝" w:eastAsia="ＭＳ 明朝"/>
        </w:rPr>
        <w:t>　　　令和７年１０月２日（木）午前１０時００分まで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w:t>
      </w:r>
      <w:r>
        <w:rPr>
          <w:rFonts w:hint="eastAsia" w:ascii="ＭＳ 明朝" w:hAnsi="ＭＳ 明朝"/>
        </w:rPr>
        <w:t>平成２２年度以降に，国又は地方公共団体が発注した</w:t>
      </w:r>
      <w:r>
        <w:rPr>
          <w:rFonts w:hint="eastAsia" w:ascii="ＭＳ 明朝" w:hAnsi="ＭＳ 明朝" w:eastAsia="ＭＳ 明朝"/>
        </w:rPr>
        <w:t>水質計装設備の設置，更新又は修繕工事</w:t>
      </w:r>
      <w:r>
        <w:rPr>
          <w:rFonts w:hint="eastAsia" w:ascii="ＭＳ 明朝" w:hAnsi="ＭＳ 明朝"/>
        </w:rPr>
        <w:t>を元請として受注・契約し，工事を完了した実績を証する書類（工事実績を証明する書類として，一般財団法人日本建設情報総合センター（コリンズ）の登録内容確認書の写し等確認できる書類を添付すること。）</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エ　岡山県税</w:t>
      </w:r>
      <w:r>
        <w:rPr>
          <w:rFonts w:hint="eastAsia" w:ascii="ＭＳ 明朝" w:hAnsi="ＭＳ 明朝"/>
        </w:rPr>
        <w:t>の完納証明書（</w:t>
      </w:r>
      <w:r>
        <w:rPr>
          <w:rFonts w:hint="eastAsia" w:ascii="ＭＳ 明朝" w:hAnsi="ＭＳ 明朝" w:eastAsia="ＭＳ 明朝"/>
        </w:rPr>
        <w:t>発行日から１か月以内のもの。写し可</w:t>
      </w:r>
      <w:r>
        <w:rPr>
          <w:rFonts w:hint="eastAsia" w:ascii="ＭＳ 明朝" w:hAnsi="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1716</TotalTime>
  <Pages>6</Pages>
  <Words>59</Words>
  <Characters>4072</Characters>
  <Application>JUST Note</Application>
  <Lines>190</Lines>
  <Paragraphs>107</Paragraphs>
  <CharactersWithSpaces>4299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2025-09-09T06:25:52Z</dcterms:modified>
  <cp:revision>132</cp:revision>
</cp:coreProperties>
</file>