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金風呂漁港高潮対策工事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/>
        </w:rPr>
        <w:t>平成２２年度以降に，国又は地方公共団体が発注した島しょ部での同種工事を元請と</w:t>
      </w:r>
      <w:bookmarkStart w:id="0" w:name="_GoBack"/>
      <w:bookmarkEnd w:id="0"/>
      <w:r>
        <w:rPr>
          <w:rFonts w:hint="eastAsia"/>
        </w:rPr>
        <w:t>して受注・契約し，工事を完了した実績</w:t>
      </w:r>
      <w:r>
        <w:rPr>
          <w:rFonts w:hint="eastAsia" w:ascii="ＭＳ 明朝" w:hAnsi="ＭＳ 明朝"/>
        </w:rPr>
        <w:t>を証する書類（</w:t>
      </w:r>
      <w:r>
        <w:rPr>
          <w:rFonts w:hint="eastAsia"/>
        </w:rPr>
        <w:t>工事実績を証明する書類として，一般財団法人日本建設情報総合センター（コリンズ）の登録内容確認書の写し等確認できる書類を添付すること。）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0</Words>
  <Characters>375</Characters>
  <Application>JUST Note</Application>
  <Lines>30</Lines>
  <Paragraphs>14</Paragraphs>
  <Company> 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2025-09-12T01:03:16Z</dcterms:modified>
  <cp:revision>68</cp:revision>
</cp:coreProperties>
</file>