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笠岡市発注工事における現場代理人取扱要領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趣旨</w:t>
      </w:r>
    </w:p>
    <w:p>
      <w:pPr>
        <w:pStyle w:val="0"/>
        <w:ind w:left="227" w:leftChars="100" w:firstLine="227" w:firstLineChars="100"/>
        <w:rPr>
          <w:rFonts w:hint="eastAsia" w:ascii="ＭＳ 明朝" w:hAnsi="ＭＳ 明朝" w:eastAsia="ＭＳ 明朝"/>
        </w:rPr>
      </w:pPr>
      <w:r>
        <w:rPr>
          <w:rFonts w:hint="eastAsia" w:ascii="ＭＳ 明朝" w:hAnsi="ＭＳ 明朝" w:eastAsia="ＭＳ 明朝"/>
        </w:rPr>
        <w:t>この要領は，笠岡市が発注する建設工事における現場代理人の適切な配置を推進し，もって工事の適正な施工体制の確保を図るため，現場代理人の資格要件及び常駐の取扱い等について必要な事項を定める。</w:t>
      </w:r>
    </w:p>
    <w:p>
      <w:pPr>
        <w:pStyle w:val="0"/>
        <w:ind w:firstLineChars="0"/>
        <w:rPr>
          <w:rFonts w:hint="eastAsia" w:ascii="ＭＳ 明朝" w:hAnsi="ＭＳ 明朝" w:eastAsia="ＭＳ 明朝"/>
        </w:rPr>
      </w:pPr>
      <w:r>
        <w:rPr>
          <w:rFonts w:hint="eastAsia" w:ascii="ＭＳ 明朝" w:hAnsi="ＭＳ 明朝" w:eastAsia="ＭＳ 明朝"/>
        </w:rPr>
        <w:t>２　現場代理人の資格要件</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受注者と直接的かつ恒常的な雇用関係があること。（健康保険被保険者証の写し等で確認を行う。）</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建設業法（昭和２４年法律第１</w:t>
      </w:r>
      <w:bookmarkStart w:id="0" w:name="_GoBack"/>
      <w:bookmarkEnd w:id="0"/>
      <w:r>
        <w:rPr>
          <w:rFonts w:hint="eastAsia" w:ascii="ＭＳ 明朝" w:hAnsi="ＭＳ 明朝" w:eastAsia="ＭＳ 明朝"/>
        </w:rPr>
        <w:t>００号）第７条第２号又は第１５条第２号に規定する営業所の専任技術者でないこと。</w:t>
      </w:r>
    </w:p>
    <w:p>
      <w:pPr>
        <w:pStyle w:val="0"/>
        <w:rPr>
          <w:rFonts w:hint="eastAsia" w:ascii="ＭＳ 明朝" w:hAnsi="ＭＳ 明朝" w:eastAsia="ＭＳ 明朝"/>
        </w:rPr>
      </w:pPr>
      <w:r>
        <w:rPr>
          <w:rFonts w:hint="eastAsia" w:ascii="ＭＳ 明朝" w:hAnsi="ＭＳ 明朝" w:eastAsia="ＭＳ 明朝"/>
        </w:rPr>
        <w:t>３　工事現場へ常駐を要しない期間の取扱い</w:t>
      </w:r>
    </w:p>
    <w:p>
      <w:pPr>
        <w:pStyle w:val="0"/>
        <w:ind w:left="227" w:leftChars="100" w:firstLine="227" w:firstLineChars="100"/>
        <w:rPr>
          <w:rFonts w:hint="eastAsia" w:ascii="ＭＳ 明朝" w:hAnsi="ＭＳ 明朝" w:eastAsia="ＭＳ 明朝"/>
        </w:rPr>
      </w:pPr>
      <w:r>
        <w:rPr>
          <w:rFonts w:hint="eastAsia" w:ascii="ＭＳ 明朝" w:hAnsi="ＭＳ 明朝" w:eastAsia="ＭＳ 明朝"/>
        </w:rPr>
        <w:t>現場代理人が工事現場に常駐すべき期間は，契約工期が基本であるが，次の期間については，監督員と現場代理人との間で工事打合せ簿等の書面で明確にしていれば工事現場への常駐を要しないものとする。</w:t>
      </w:r>
    </w:p>
    <w:p>
      <w:pPr>
        <w:pStyle w:val="0"/>
        <w:ind w:left="227" w:leftChars="100" w:firstLine="227" w:firstLineChars="100"/>
        <w:rPr>
          <w:rFonts w:hint="eastAsia" w:ascii="ＭＳ 明朝" w:hAnsi="ＭＳ 明朝" w:eastAsia="ＭＳ 明朝"/>
        </w:rPr>
      </w:pPr>
      <w:r>
        <w:rPr>
          <w:rFonts w:hint="eastAsia" w:ascii="ＭＳ 明朝" w:hAnsi="ＭＳ 明朝" w:eastAsia="ＭＳ 明朝"/>
        </w:rPr>
        <w:t>なお，この場合においても，受注者は，監督員と常時連絡可能な体制を確保しなければならない。</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請負契約の締結後，現場事務所の設置，資機材の搬入又は仮設工事等が開始されるまでの準備期間</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自然災害の発生又は埋蔵文化財調査等により工事を全面的に一時中止している期間</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工事完成後，検査が終了し，事務手続及び後片付け等のみが残っている期間</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橋梁，ポンプ，ゲート及びエレベーター等の工場製作を含む工事の工場製作のみが行われている期間</w:t>
      </w:r>
    </w:p>
    <w:p>
      <w:pPr>
        <w:pStyle w:val="0"/>
        <w:rPr>
          <w:rFonts w:hint="eastAsia" w:ascii="ＭＳ 明朝" w:hAnsi="ＭＳ 明朝" w:eastAsia="ＭＳ 明朝"/>
        </w:rPr>
      </w:pPr>
      <w:r>
        <w:rPr>
          <w:rFonts w:hint="eastAsia" w:ascii="ＭＳ 明朝" w:hAnsi="ＭＳ 明朝" w:eastAsia="ＭＳ 明朝"/>
        </w:rPr>
        <w:t>４　常駐緩和（兼務）の取扱い</w:t>
      </w:r>
    </w:p>
    <w:p>
      <w:pPr>
        <w:pStyle w:val="0"/>
        <w:ind w:left="227" w:leftChars="100" w:firstLine="227" w:firstLineChars="100"/>
        <w:rPr>
          <w:rFonts w:hint="eastAsia" w:ascii="ＭＳ 明朝" w:hAnsi="ＭＳ 明朝" w:eastAsia="ＭＳ 明朝"/>
        </w:rPr>
      </w:pPr>
      <w:r>
        <w:rPr>
          <w:rFonts w:hint="eastAsia" w:ascii="ＭＳ 明朝" w:hAnsi="ＭＳ 明朝" w:eastAsia="ＭＳ 明朝"/>
        </w:rPr>
        <w:t>発注者は，下記</w:t>
      </w:r>
      <w:r>
        <w:rPr>
          <w:rFonts w:hint="eastAsia" w:ascii="ＭＳ 明朝" w:hAnsi="ＭＳ 明朝" w:eastAsia="ＭＳ 明朝"/>
        </w:rPr>
        <w:t>(1)</w:t>
      </w:r>
      <w:r>
        <w:rPr>
          <w:rFonts w:hint="eastAsia" w:ascii="ＭＳ 明朝" w:hAnsi="ＭＳ 明朝" w:eastAsia="ＭＳ 明朝"/>
        </w:rPr>
        <w:t>又は</w:t>
      </w:r>
      <w:r>
        <w:rPr>
          <w:rFonts w:hint="eastAsia" w:ascii="ＭＳ 明朝" w:hAnsi="ＭＳ 明朝" w:eastAsia="ＭＳ 明朝"/>
        </w:rPr>
        <w:t>(2)</w:t>
      </w:r>
      <w:r>
        <w:rPr>
          <w:rFonts w:hint="eastAsia" w:ascii="ＭＳ 明朝" w:hAnsi="ＭＳ 明朝" w:eastAsia="ＭＳ 明朝"/>
        </w:rPr>
        <w:t>に該当する場合には，現場代理人の兼務を認めるものとする。</w:t>
      </w:r>
    </w:p>
    <w:p>
      <w:pPr>
        <w:pStyle w:val="0"/>
        <w:ind w:left="227" w:leftChars="100" w:firstLine="227" w:firstLineChars="100"/>
        <w:rPr>
          <w:rFonts w:hint="eastAsia" w:ascii="ＭＳ 明朝" w:hAnsi="ＭＳ 明朝" w:eastAsia="ＭＳ 明朝"/>
        </w:rPr>
      </w:pPr>
      <w:r>
        <w:rPr>
          <w:rFonts w:hint="eastAsia" w:ascii="ＭＳ 明朝" w:hAnsi="ＭＳ 明朝" w:eastAsia="ＭＳ 明朝"/>
        </w:rPr>
        <w:t>受注者は，現場代理人を兼務しようとする場合，発注者に現場代理人兼務届（別紙）を提出すること。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次の①～④全ての要件を満たす場合</w:t>
      </w:r>
    </w:p>
    <w:p>
      <w:pPr>
        <w:pStyle w:val="0"/>
        <w:ind w:left="630" w:leftChars="200" w:hanging="210" w:hangingChars="100"/>
        <w:rPr>
          <w:rFonts w:hint="eastAsia" w:ascii="ＭＳ 明朝" w:hAnsi="ＭＳ 明朝" w:eastAsia="ＭＳ 明朝"/>
          <w:color w:val="auto"/>
        </w:rPr>
      </w:pPr>
      <w:r>
        <w:rPr>
          <w:rFonts w:hint="eastAsia" w:ascii="ＭＳ 明朝" w:hAnsi="ＭＳ 明朝" w:eastAsia="ＭＳ 明朝"/>
        </w:rPr>
        <w:t>①　兼務することとなる工事（国又は県，他市町村が発注する工事を含む。）の件数が３件以内（平成３０年７月豪雨災害による災害復旧工事等が含まれる場合は５件以内）であること。なお，諸経費調整対象工事は，複数件であってもこれを１件とする。ただし，諸経費調整による変更請負金額</w:t>
      </w:r>
      <w:r>
        <w:rPr>
          <w:rFonts w:hint="eastAsia" w:ascii="ＭＳ 明朝" w:hAnsi="ＭＳ 明朝" w:eastAsia="ＭＳ 明朝"/>
          <w:color w:val="auto"/>
        </w:rPr>
        <w:t>が４</w:t>
      </w:r>
      <w:r>
        <w:rPr>
          <w:rFonts w:hint="eastAsia" w:ascii="ＭＳ 明朝" w:hAnsi="ＭＳ 明朝" w:eastAsia="ＭＳ 明朝"/>
          <w:color w:val="auto"/>
        </w:rPr>
        <w:t>,</w:t>
      </w:r>
      <w:r>
        <w:rPr>
          <w:rFonts w:hint="eastAsia" w:ascii="ＭＳ 明朝" w:hAnsi="ＭＳ 明朝" w:eastAsia="ＭＳ 明朝"/>
          <w:color w:val="auto"/>
        </w:rPr>
        <w:t>５００万円（建築一式工事については，９</w:t>
      </w:r>
      <w:r>
        <w:rPr>
          <w:rFonts w:hint="eastAsia" w:ascii="ＭＳ 明朝" w:hAnsi="ＭＳ 明朝" w:eastAsia="ＭＳ 明朝"/>
          <w:color w:val="auto"/>
        </w:rPr>
        <w:t>,</w:t>
      </w:r>
      <w:r>
        <w:rPr>
          <w:rFonts w:hint="eastAsia" w:ascii="ＭＳ 明朝" w:hAnsi="ＭＳ 明朝" w:eastAsia="ＭＳ 明朝"/>
          <w:color w:val="auto"/>
        </w:rPr>
        <w:t>０００万円）未満のものに限る。</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②　兼務することとなる工事の当初請負金額が４</w:t>
      </w:r>
      <w:r>
        <w:rPr>
          <w:rFonts w:hint="eastAsia" w:ascii="ＭＳ 明朝" w:hAnsi="ＭＳ 明朝" w:eastAsia="ＭＳ 明朝"/>
          <w:color w:val="auto"/>
        </w:rPr>
        <w:t>,</w:t>
      </w:r>
      <w:r>
        <w:rPr>
          <w:rFonts w:hint="eastAsia" w:ascii="ＭＳ 明朝" w:hAnsi="ＭＳ 明朝" w:eastAsia="ＭＳ 明朝"/>
          <w:color w:val="auto"/>
        </w:rPr>
        <w:t>５００万円（建築一式工事について</w:t>
      </w:r>
    </w:p>
    <w:p>
      <w:pPr>
        <w:pStyle w:val="0"/>
        <w:ind w:left="420" w:leftChars="200" w:firstLine="210" w:firstLineChars="100"/>
        <w:rPr>
          <w:rFonts w:hint="eastAsia" w:ascii="ＭＳ 明朝" w:hAnsi="ＭＳ 明朝" w:eastAsia="ＭＳ 明朝"/>
          <w:color w:val="auto"/>
        </w:rPr>
      </w:pPr>
      <w:r>
        <w:rPr>
          <w:rFonts w:hint="eastAsia" w:ascii="ＭＳ 明朝" w:hAnsi="ＭＳ 明朝" w:eastAsia="ＭＳ 明朝"/>
          <w:color w:val="auto"/>
        </w:rPr>
        <w:t>は，９</w:t>
      </w:r>
      <w:r>
        <w:rPr>
          <w:rFonts w:hint="eastAsia" w:ascii="ＭＳ 明朝" w:hAnsi="ＭＳ 明朝" w:eastAsia="ＭＳ 明朝"/>
          <w:color w:val="auto"/>
        </w:rPr>
        <w:t>,</w:t>
      </w:r>
      <w:r>
        <w:rPr>
          <w:rFonts w:hint="eastAsia" w:ascii="ＭＳ 明朝" w:hAnsi="ＭＳ 明朝" w:eastAsia="ＭＳ 明朝"/>
          <w:color w:val="auto"/>
        </w:rPr>
        <w:t>０００万円）未満であること。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③　それぞれの工事現場が，笠岡市内の場合は市内全域，または，笠岡市が構成員となっている一部事務組合あるいは企業団管内の場合は工事現場の相互の間隔が１０ｋｍ程度にあり，かつ，監督員と常時連絡可能な体制を確保し，自家用船，あるいはチャーター船等の利用も含め，監督員が求めた場合は速やかに工事現場に向かう等適切な対応ができること。</w:t>
      </w:r>
    </w:p>
    <w:p>
      <w:pPr>
        <w:pStyle w:val="0"/>
        <w:ind w:firstLine="420" w:firstLineChars="200"/>
        <w:rPr>
          <w:rFonts w:hint="eastAsia" w:ascii="ＭＳ 明朝" w:hAnsi="ＭＳ 明朝" w:eastAsia="ＭＳ 明朝"/>
        </w:rPr>
      </w:pPr>
      <w:r>
        <w:rPr>
          <w:rFonts w:hint="eastAsia" w:ascii="ＭＳ 明朝" w:hAnsi="ＭＳ 明朝" w:eastAsia="ＭＳ 明朝"/>
        </w:rPr>
        <w:t>④　兼務するいずれかの工事現場で業務に従事できること。</w:t>
      </w:r>
    </w:p>
    <w:p>
      <w:pPr>
        <w:pStyle w:val="0"/>
        <w:ind w:left="454" w:leftChars="100" w:hanging="227"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同一の場所又は隣接した場所で行われる工事で，笠岡市が認めるもの（諸経費調整対象工事）である場合。なお，この場合は，複数件であっても１件とみなすものとする。</w:t>
      </w:r>
    </w:p>
    <w:p>
      <w:pPr>
        <w:pStyle w:val="0"/>
        <w:rPr>
          <w:rFonts w:hint="eastAsia" w:ascii="ＭＳ 明朝" w:hAnsi="ＭＳ 明朝" w:eastAsia="ＭＳ 明朝"/>
        </w:rPr>
      </w:pPr>
      <w:r>
        <w:rPr>
          <w:rFonts w:hint="eastAsia" w:ascii="ＭＳ 明朝" w:hAnsi="ＭＳ 明朝" w:eastAsia="ＭＳ 明朝"/>
        </w:rPr>
        <w:t>５　国又は県，他市町村が発注する工事等との常駐緩和（兼務）の取扱い</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国又は県，他市町村が発注する工事の現場代理人が新たに笠岡市発注工事の現場代理人を兼務する場合において，４の</w:t>
      </w:r>
      <w:r>
        <w:rPr>
          <w:rFonts w:hint="eastAsia" w:ascii="ＭＳ 明朝" w:hAnsi="ＭＳ 明朝" w:eastAsia="ＭＳ 明朝"/>
        </w:rPr>
        <w:t>(1)</w:t>
      </w:r>
      <w:r>
        <w:rPr>
          <w:rFonts w:hint="eastAsia" w:ascii="ＭＳ 明朝" w:hAnsi="ＭＳ 明朝" w:eastAsia="ＭＳ 明朝"/>
        </w:rPr>
        <w:t>の要件を満たし，かつ，当該国又は県あるいは他市町村の権限のある者の承諾を得た場合は，兼務を認めるものとする。また，笠岡市発注工事の現場代理人が新たに国又は県，他市町村の発注する工事の現場代理人を兼務する場合において，新たな発注団体等の兼務条件を満たし，さらに４の</w:t>
      </w:r>
      <w:r>
        <w:rPr>
          <w:rFonts w:hint="eastAsia" w:ascii="ＭＳ 明朝" w:hAnsi="ＭＳ 明朝" w:eastAsia="ＭＳ 明朝"/>
        </w:rPr>
        <w:t>(1)</w:t>
      </w:r>
      <w:r>
        <w:rPr>
          <w:rFonts w:hint="eastAsia" w:ascii="ＭＳ 明朝" w:hAnsi="ＭＳ 明朝" w:eastAsia="ＭＳ 明朝"/>
        </w:rPr>
        <w:t>の要件を満たす場合は，兼務の承諾を行うものとする。</w:t>
      </w:r>
    </w:p>
    <w:p>
      <w:pPr>
        <w:pStyle w:val="0"/>
        <w:rPr>
          <w:rFonts w:hint="eastAsia" w:ascii="ＭＳ 明朝" w:hAnsi="ＭＳ 明朝" w:eastAsia="ＭＳ 明朝"/>
        </w:rPr>
      </w:pPr>
      <w:r>
        <w:rPr>
          <w:rFonts w:hint="eastAsia" w:ascii="ＭＳ 明朝" w:hAnsi="ＭＳ 明朝" w:eastAsia="ＭＳ 明朝"/>
        </w:rPr>
        <w:t>６　常駐緩和（兼務）要件を満たさなくなった場合等の取扱い</w:t>
      </w:r>
    </w:p>
    <w:p>
      <w:pPr>
        <w:pStyle w:val="0"/>
        <w:ind w:firstLine="227"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４の</w:t>
      </w:r>
      <w:r>
        <w:rPr>
          <w:rFonts w:hint="eastAsia" w:ascii="ＭＳ 明朝" w:hAnsi="ＭＳ 明朝" w:eastAsia="ＭＳ 明朝"/>
        </w:rPr>
        <w:t>(1)</w:t>
      </w:r>
      <w:r>
        <w:rPr>
          <w:rFonts w:hint="eastAsia" w:ascii="ＭＳ 明朝" w:hAnsi="ＭＳ 明朝" w:eastAsia="ＭＳ 明朝"/>
        </w:rPr>
        <w:t>の要件を満たさなくなった場合は，兼務を認めないものとする。</w:t>
      </w:r>
    </w:p>
    <w:p>
      <w:pPr>
        <w:pStyle w:val="0"/>
        <w:ind w:left="454" w:leftChars="100" w:hanging="227"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安全管理不徹底及び現場体制不備等により事故が発生した工事との新たな兼務は認めない。また，既に兼務している工事において安全管理不徹底及び現場体制不備により事故が発生した場合は，兼務を認めないものとする。</w:t>
      </w:r>
    </w:p>
    <w:p>
      <w:pPr>
        <w:pStyle w:val="0"/>
        <w:ind w:left="454" w:leftChars="100" w:hanging="227"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上記</w:t>
      </w:r>
      <w:r>
        <w:rPr>
          <w:rFonts w:hint="eastAsia" w:ascii="ＭＳ 明朝" w:hAnsi="ＭＳ 明朝" w:eastAsia="ＭＳ 明朝"/>
        </w:rPr>
        <w:t>(1)</w:t>
      </w:r>
      <w:r>
        <w:rPr>
          <w:rFonts w:hint="eastAsia" w:ascii="ＭＳ 明朝" w:hAnsi="ＭＳ 明朝" w:eastAsia="ＭＳ 明朝"/>
        </w:rPr>
        <w:t>又は</w:t>
      </w:r>
      <w:r>
        <w:rPr>
          <w:rFonts w:hint="eastAsia" w:ascii="ＭＳ 明朝" w:hAnsi="ＭＳ 明朝" w:eastAsia="ＭＳ 明朝"/>
        </w:rPr>
        <w:t>(2</w:t>
      </w:r>
      <w:r>
        <w:rPr>
          <w:rFonts w:hint="eastAsia" w:ascii="ＭＳ 明朝" w:hAnsi="ＭＳ 明朝" w:eastAsia="ＭＳ 明朝"/>
        </w:rPr>
        <w:t>）により兼務を認めないこととされた場合において，受注者は速やかにどちらか一方の工事に別の現場代理人を選任し，発注者に届け出ることとする。</w:t>
      </w:r>
    </w:p>
    <w:p>
      <w:pPr>
        <w:pStyle w:val="0"/>
        <w:rPr>
          <w:rFonts w:hint="eastAsia" w:ascii="ＭＳ 明朝" w:hAnsi="ＭＳ 明朝" w:eastAsia="ＭＳ 明朝"/>
        </w:rPr>
      </w:pPr>
    </w:p>
    <w:p>
      <w:pPr>
        <w:pStyle w:val="0"/>
        <w:ind w:firstLine="680" w:firstLineChars="300"/>
        <w:rPr>
          <w:rFonts w:hint="eastAsia" w:ascii="ＭＳ 明朝" w:hAnsi="ＭＳ 明朝" w:eastAsia="ＭＳ 明朝"/>
        </w:rPr>
      </w:pPr>
      <w:r>
        <w:rPr>
          <w:rFonts w:hint="eastAsia" w:ascii="ＭＳ 明朝" w:hAnsi="ＭＳ 明朝" w:eastAsia="ＭＳ 明朝"/>
        </w:rPr>
        <w:t>附　則</w:t>
      </w:r>
    </w:p>
    <w:p>
      <w:pPr>
        <w:pStyle w:val="0"/>
        <w:ind w:firstLine="210" w:firstLineChars="100"/>
        <w:rPr>
          <w:rFonts w:hint="eastAsia" w:ascii="ＭＳ 明朝" w:hAnsi="ＭＳ 明朝" w:eastAsia="ＭＳ 明朝"/>
        </w:rPr>
      </w:pPr>
      <w:r>
        <w:rPr>
          <w:rFonts w:hint="eastAsia" w:ascii="ＭＳ 明朝" w:hAnsi="ＭＳ 明朝" w:eastAsia="ＭＳ 明朝"/>
        </w:rPr>
        <w:t>この要領は，平成２９年６月１日から施行する。</w:t>
      </w:r>
    </w:p>
    <w:p>
      <w:pPr>
        <w:pStyle w:val="0"/>
        <w:ind w:firstLine="680" w:firstLineChars="300"/>
        <w:rPr>
          <w:rFonts w:hint="eastAsia" w:ascii="ＭＳ 明朝" w:hAnsi="ＭＳ 明朝" w:eastAsia="ＭＳ 明朝"/>
        </w:rPr>
      </w:pPr>
      <w:r>
        <w:rPr>
          <w:rFonts w:hint="eastAsia" w:ascii="ＭＳ 明朝" w:hAnsi="ＭＳ 明朝" w:eastAsia="ＭＳ 明朝"/>
        </w:rPr>
        <w:t>附　則</w:t>
      </w:r>
    </w:p>
    <w:p>
      <w:pPr>
        <w:pStyle w:val="0"/>
        <w:ind w:firstLine="227" w:firstLineChars="100"/>
        <w:rPr>
          <w:rFonts w:hint="eastAsia" w:ascii="ＭＳ 明朝" w:hAnsi="ＭＳ 明朝" w:eastAsia="ＭＳ 明朝"/>
        </w:rPr>
      </w:pPr>
      <w:r>
        <w:rPr>
          <w:rFonts w:hint="eastAsia" w:ascii="ＭＳ 明朝" w:hAnsi="ＭＳ 明朝" w:eastAsia="ＭＳ 明朝"/>
        </w:rPr>
        <w:t>この要領は，平成３０年１１月１日から施行する。</w:t>
      </w:r>
    </w:p>
    <w:p>
      <w:pPr>
        <w:pStyle w:val="0"/>
        <w:ind w:firstLine="680" w:firstLineChars="300"/>
        <w:rPr>
          <w:rFonts w:hint="eastAsia" w:ascii="ＭＳ 明朝" w:hAnsi="ＭＳ 明朝" w:eastAsia="ＭＳ 明朝"/>
          <w:color w:val="auto"/>
        </w:rPr>
      </w:pPr>
      <w:r>
        <w:rPr>
          <w:rFonts w:hint="eastAsia" w:ascii="ＭＳ 明朝" w:hAnsi="ＭＳ 明朝" w:eastAsia="ＭＳ 明朝"/>
          <w:color w:val="auto"/>
        </w:rPr>
        <w:t>附　則</w:t>
      </w:r>
    </w:p>
    <w:p>
      <w:pPr>
        <w:pStyle w:val="0"/>
        <w:rPr>
          <w:rFonts w:hint="eastAsia" w:ascii="ＭＳ 明朝" w:hAnsi="ＭＳ 明朝" w:eastAsia="ＭＳ 明朝"/>
        </w:rPr>
      </w:pPr>
      <w:r>
        <w:rPr>
          <w:rFonts w:hint="eastAsia" w:ascii="ＭＳ 明朝" w:hAnsi="ＭＳ 明朝" w:eastAsia="ＭＳ 明朝"/>
          <w:color w:val="auto"/>
        </w:rPr>
        <w:t>　この要領は，令和５年６月１日から施行する。</w:t>
      </w:r>
    </w:p>
    <w:p>
      <w:pPr>
        <w:pStyle w:val="0"/>
        <w:rPr>
          <w:rFonts w:hint="eastAsia" w:ascii="ＭＳ 明朝" w:hAnsi="ＭＳ 明朝" w:eastAsia="ＭＳ 明朝"/>
        </w:rPr>
      </w:pPr>
      <w:r>
        <w:rPr>
          <w:rFonts w:hint="eastAsia" w:ascii="ＭＳ 明朝" w:hAnsi="ＭＳ 明朝" w:eastAsia="ＭＳ 明朝"/>
          <w:color w:val="auto"/>
        </w:rPr>
        <w:t>　　　附　則</w:t>
      </w:r>
    </w:p>
    <w:p>
      <w:pPr>
        <w:pStyle w:val="0"/>
        <w:rPr>
          <w:rFonts w:hint="eastAsia" w:ascii="ＭＳ 明朝" w:hAnsi="ＭＳ 明朝" w:eastAsia="ＭＳ 明朝"/>
        </w:rPr>
      </w:pPr>
      <w:r>
        <w:rPr>
          <w:rFonts w:hint="eastAsia" w:ascii="ＭＳ 明朝" w:hAnsi="ＭＳ 明朝" w:eastAsia="ＭＳ 明朝"/>
          <w:color w:val="auto"/>
        </w:rPr>
        <w:t>　この要領は，令和７年６月１日から施行する。</w:t>
      </w: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onstantia">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qFormat/>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572</TotalTime>
  <Pages>3</Pages>
  <Words>19</Words>
  <Characters>1765</Characters>
  <Application>JUST Note</Application>
  <Lines>68</Lines>
  <Paragraphs>37</Paragraphs>
  <CharactersWithSpaces>1796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J13012</dc:creator>
  <cp:lastModifiedBy>J19016</cp:lastModifiedBy>
  <cp:lastPrinted>2018-10-23T05:15:00Z</cp:lastPrinted>
  <dcterms:created xsi:type="dcterms:W3CDTF">2014-12-18T08:31:00Z</dcterms:created>
  <dcterms:modified xsi:type="dcterms:W3CDTF">2025-04-15T01:12:03Z</dcterms:modified>
  <cp:revision>37</cp:revision>
</cp:coreProperties>
</file>