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HG丸ｺﾞｼｯｸM-PRO" w:hAnsi="HG丸ｺﾞｼｯｸM-PRO" w:eastAsia="HG丸ｺﾞｼｯｸM-PRO"/>
          <w:b w:val="1"/>
          <w:color w:val="auto"/>
        </w:rPr>
      </w:pPr>
      <w:r>
        <w:rPr>
          <w:rFonts w:hint="eastAsia" w:ascii="HG丸ｺﾞｼｯｸM-PRO" w:hAnsi="HG丸ｺﾞｼｯｸM-PRO" w:eastAsia="HG丸ｺﾞｼｯｸM-PRO"/>
          <w:b w:val="1"/>
          <w:color w:val="auto"/>
          <w:sz w:val="24"/>
        </w:rPr>
        <w:t>笠岡市公共工事中間前金払について</w:t>
      </w:r>
    </w:p>
    <w:p>
      <w:pPr>
        <w:pStyle w:val="0"/>
        <w:rPr>
          <w:rFonts w:hint="eastAsia" w:ascii="HG丸ｺﾞｼｯｸM-PRO" w:hAnsi="HG丸ｺﾞｼｯｸM-PRO" w:eastAsia="HG丸ｺﾞｼｯｸM-PRO"/>
        </w:rPr>
      </w:pPr>
    </w:p>
    <w:p>
      <w:pPr>
        <w:pStyle w:val="0"/>
        <w:ind w:left="210" w:leftChars="100" w:firstLine="0" w:firstLineChars="0"/>
        <w:rPr>
          <w:rFonts w:hint="eastAsia" w:ascii="HG丸ｺﾞｼｯｸM-PRO" w:hAnsi="HG丸ｺﾞｼｯｸM-PRO" w:eastAsia="HG丸ｺﾞｼｯｸM-PRO"/>
        </w:rPr>
      </w:pPr>
      <w:r>
        <w:rPr>
          <w:rFonts w:hint="eastAsia" w:ascii="HG丸ｺﾞｼｯｸM-PRO" w:hAnsi="HG丸ｺﾞｼｯｸM-PRO" w:eastAsia="HG丸ｺﾞｼｯｸM-PRO"/>
        </w:rPr>
        <w:t>契約締結時は中間前金払の</w:t>
      </w:r>
      <w:r>
        <w:rPr>
          <w:rFonts w:hint="eastAsia" w:ascii="HG丸ｺﾞｼｯｸM-PRO" w:hAnsi="HG丸ｺﾞｼｯｸM-PRO" w:eastAsia="HG丸ｺﾞｼｯｸM-PRO"/>
          <w:u w:val="wave" w:color="auto"/>
        </w:rPr>
        <w:t>対象外</w:t>
      </w:r>
      <w:r>
        <w:rPr>
          <w:rFonts w:hint="eastAsia" w:ascii="HG丸ｺﾞｼｯｸM-PRO" w:hAnsi="HG丸ｺﾞｼｯｸM-PRO" w:eastAsia="HG丸ｺﾞｼｯｸM-PRO"/>
        </w:rPr>
        <w:t>であった工事が，変更契約後</w:t>
      </w:r>
      <w:r>
        <w:rPr>
          <w:rFonts w:hint="eastAsia" w:ascii="HG丸ｺﾞｼｯｸM-PRO" w:hAnsi="HG丸ｺﾞｼｯｸM-PRO" w:eastAsia="HG丸ｺﾞｼｯｸM-PRO"/>
          <w:u w:val="wave" w:color="auto"/>
        </w:rPr>
        <w:t>対象となる要件</w:t>
      </w:r>
      <w:r>
        <w:rPr>
          <w:rFonts w:hint="eastAsia" w:ascii="HG丸ｺﾞｼｯｸM-PRO" w:hAnsi="HG丸ｺﾞｼｯｸM-PRO" w:eastAsia="HG丸ｺﾞｼｯｸM-PRO"/>
        </w:rPr>
        <w:t>（請負代金</w:t>
      </w:r>
      <w:r>
        <w:rPr>
          <w:rFonts w:hint="eastAsia" w:ascii="HG丸ｺﾞｼｯｸM-PRO" w:hAnsi="HG丸ｺﾞｼｯｸM-PRO" w:eastAsia="HG丸ｺﾞｼｯｸM-PRO"/>
        </w:rPr>
        <w:t>1,000</w:t>
      </w:r>
      <w:r>
        <w:rPr>
          <w:rFonts w:hint="eastAsia" w:ascii="HG丸ｺﾞｼｯｸM-PRO" w:hAnsi="HG丸ｺﾞｼｯｸM-PRO" w:eastAsia="HG丸ｺﾞｼｯｸM-PRO"/>
        </w:rPr>
        <w:t>万円以上，工期</w:t>
      </w:r>
      <w:r>
        <w:rPr>
          <w:rFonts w:hint="eastAsia" w:ascii="HG丸ｺﾞｼｯｸM-PRO" w:hAnsi="HG丸ｺﾞｼｯｸM-PRO" w:eastAsia="HG丸ｺﾞｼｯｸM-PRO"/>
        </w:rPr>
        <w:t>120</w:t>
      </w:r>
      <w:r>
        <w:rPr>
          <w:rFonts w:hint="eastAsia" w:ascii="HG丸ｺﾞｼｯｸM-PRO" w:hAnsi="HG丸ｺﾞｼｯｸM-PRO" w:eastAsia="HG丸ｺﾞｼｯｸM-PRO"/>
        </w:rPr>
        <w:t>日を超える等）</w:t>
      </w:r>
      <w:r>
        <w:rPr>
          <w:rFonts w:hint="eastAsia" w:ascii="HG丸ｺﾞｼｯｸM-PRO" w:hAnsi="HG丸ｺﾞｼｯｸM-PRO" w:eastAsia="HG丸ｺﾞｼｯｸM-PRO"/>
          <w:u w:val="wave" w:color="auto"/>
        </w:rPr>
        <w:t>を満たした</w:t>
      </w:r>
      <w:r>
        <w:rPr>
          <w:rFonts w:hint="eastAsia" w:ascii="HG丸ｺﾞｼｯｸM-PRO" w:hAnsi="HG丸ｺﾞｼｯｸM-PRO" w:eastAsia="HG丸ｺﾞｼｯｸM-PRO"/>
        </w:rPr>
        <w:t>場合の取扱いについて</w:t>
      </w:r>
    </w:p>
    <w:p>
      <w:pPr>
        <w:pStyle w:val="0"/>
        <w:rPr>
          <w:rFonts w:hint="eastAsia" w:ascii="HG丸ｺﾞｼｯｸM-PRO" w:hAnsi="HG丸ｺﾞｼｯｸM-PRO" w:eastAsia="HG丸ｺﾞｼｯｸM-PRO"/>
        </w:rPr>
      </w:pPr>
    </w:p>
    <w:p>
      <w:pPr>
        <w:pStyle w:val="0"/>
        <w:rPr>
          <w:rFonts w:hint="eastAsia" w:ascii="HG丸ｺﾞｼｯｸM-PRO" w:hAnsi="HG丸ｺﾞｼｯｸM-PRO" w:eastAsia="HG丸ｺﾞｼｯｸM-PRO"/>
        </w:rPr>
      </w:pPr>
    </w:p>
    <w:p>
      <w:pPr>
        <w:pStyle w:val="0"/>
        <w:rPr>
          <w:rFonts w:hint="eastAsia" w:ascii="HG丸ｺﾞｼｯｸM-PRO" w:hAnsi="HG丸ｺﾞｼｯｸM-PRO" w:eastAsia="HG丸ｺﾞｼｯｸM-PRO"/>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212725</wp:posOffset>
                </wp:positionH>
                <wp:positionV relativeFrom="paragraph">
                  <wp:posOffset>18415</wp:posOffset>
                </wp:positionV>
                <wp:extent cx="3890010" cy="112014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3890010" cy="112014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left"/>
                              <w:rPr>
                                <w:rFonts w:hint="eastAsia" w:ascii="ＭＳ 明朝" w:hAnsi="ＭＳ 明朝" w:eastAsia="ＭＳ 明朝"/>
                              </w:rPr>
                            </w:pPr>
                            <w:r>
                              <w:rPr>
                                <w:rFonts w:hint="eastAsia" w:ascii="ＭＳ 明朝" w:hAnsi="ＭＳ 明朝" w:eastAsia="ＭＳ 明朝"/>
                              </w:rPr>
                              <w:t>１</w:t>
                            </w:r>
                            <w:r>
                              <w:rPr>
                                <w:rFonts w:hint="eastAsia" w:ascii="ＭＳ 明朝" w:hAnsi="ＭＳ 明朝" w:eastAsia="ＭＳ 明朝"/>
                                <w:u w:val="none" w:color="auto"/>
                              </w:rPr>
                              <w:t>　</w:t>
                            </w:r>
                            <w:r>
                              <w:rPr>
                                <w:rFonts w:hint="eastAsia" w:ascii="ＭＳ 明朝" w:hAnsi="ＭＳ 明朝" w:eastAsia="ＭＳ 明朝"/>
                                <w:b w:val="0"/>
                                <w:color w:val="auto"/>
                                <w:u w:val="none" w:color="auto"/>
                              </w:rPr>
                              <w:t>原則</w:t>
                            </w:r>
                          </w:p>
                          <w:p>
                            <w:pPr>
                              <w:pStyle w:val="0"/>
                              <w:ind w:firstLine="210" w:firstLineChars="100"/>
                              <w:jc w:val="left"/>
                              <w:rPr>
                                <w:rFonts w:hint="eastAsia" w:ascii="ＭＳ 明朝" w:hAnsi="ＭＳ 明朝" w:eastAsia="ＭＳ 明朝"/>
                                <w:b w:val="0"/>
                              </w:rPr>
                            </w:pPr>
                          </w:p>
                          <w:p>
                            <w:pPr>
                              <w:pStyle w:val="0"/>
                              <w:ind w:firstLine="210" w:firstLineChars="100"/>
                              <w:jc w:val="left"/>
                              <w:rPr>
                                <w:rFonts w:hint="eastAsia" w:ascii="ＭＳ 明朝" w:hAnsi="ＭＳ 明朝" w:eastAsia="ＭＳ 明朝"/>
                                <w:b w:val="0"/>
                              </w:rPr>
                            </w:pPr>
                            <w:r>
                              <w:rPr>
                                <w:rFonts w:hint="eastAsia" w:ascii="ＭＳ 明朝" w:hAnsi="ＭＳ 明朝" w:eastAsia="ＭＳ 明朝"/>
                                <w:b w:val="0"/>
                              </w:rPr>
                              <w:t>契約締結時の要件で判断し，変更契約は考慮しない。</w:t>
                            </w:r>
                          </w:p>
                          <w:p>
                            <w:pPr>
                              <w:pStyle w:val="0"/>
                              <w:ind w:firstLine="210" w:firstLineChars="100"/>
                              <w:jc w:val="left"/>
                              <w:rPr>
                                <w:rFonts w:hint="eastAsia"/>
                                <w:b w:val="0"/>
                              </w:rPr>
                            </w:pPr>
                            <w:r>
                              <w:rPr>
                                <w:rFonts w:hint="eastAsia" w:ascii="ＭＳ 明朝" w:hAnsi="ＭＳ 明朝" w:eastAsia="ＭＳ 明朝"/>
                                <w:b w:val="0"/>
                              </w:rPr>
                              <w:t>繰越明許費の場合は対象外。</w:t>
                            </w:r>
                          </w:p>
                          <w:p>
                            <w:pPr>
                              <w:pStyle w:val="0"/>
                              <w:jc w:val="left"/>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45pt;mso-position-vertical-relative:text;mso-position-horizontal-relative:text;position:absolute;height:88.2pt;mso-wrap-distance-top:0pt;width:306.3pt;mso-wrap-distance-left:5.65pt;margin-left:16.75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left"/>
                        <w:rPr>
                          <w:rFonts w:hint="eastAsia" w:ascii="ＭＳ 明朝" w:hAnsi="ＭＳ 明朝" w:eastAsia="ＭＳ 明朝"/>
                        </w:rPr>
                      </w:pPr>
                      <w:r>
                        <w:rPr>
                          <w:rFonts w:hint="eastAsia" w:ascii="ＭＳ 明朝" w:hAnsi="ＭＳ 明朝" w:eastAsia="ＭＳ 明朝"/>
                        </w:rPr>
                        <w:t>１</w:t>
                      </w:r>
                      <w:r>
                        <w:rPr>
                          <w:rFonts w:hint="eastAsia" w:ascii="ＭＳ 明朝" w:hAnsi="ＭＳ 明朝" w:eastAsia="ＭＳ 明朝"/>
                          <w:u w:val="none" w:color="auto"/>
                        </w:rPr>
                        <w:t>　</w:t>
                      </w:r>
                      <w:r>
                        <w:rPr>
                          <w:rFonts w:hint="eastAsia" w:ascii="ＭＳ 明朝" w:hAnsi="ＭＳ 明朝" w:eastAsia="ＭＳ 明朝"/>
                          <w:b w:val="0"/>
                          <w:color w:val="auto"/>
                          <w:u w:val="none" w:color="auto"/>
                        </w:rPr>
                        <w:t>原則</w:t>
                      </w:r>
                    </w:p>
                    <w:p>
                      <w:pPr>
                        <w:pStyle w:val="0"/>
                        <w:ind w:firstLine="210" w:firstLineChars="100"/>
                        <w:jc w:val="left"/>
                        <w:rPr>
                          <w:rFonts w:hint="eastAsia" w:ascii="ＭＳ 明朝" w:hAnsi="ＭＳ 明朝" w:eastAsia="ＭＳ 明朝"/>
                          <w:b w:val="0"/>
                        </w:rPr>
                      </w:pPr>
                    </w:p>
                    <w:p>
                      <w:pPr>
                        <w:pStyle w:val="0"/>
                        <w:ind w:firstLine="210" w:firstLineChars="100"/>
                        <w:jc w:val="left"/>
                        <w:rPr>
                          <w:rFonts w:hint="eastAsia" w:ascii="ＭＳ 明朝" w:hAnsi="ＭＳ 明朝" w:eastAsia="ＭＳ 明朝"/>
                          <w:b w:val="0"/>
                        </w:rPr>
                      </w:pPr>
                      <w:r>
                        <w:rPr>
                          <w:rFonts w:hint="eastAsia" w:ascii="ＭＳ 明朝" w:hAnsi="ＭＳ 明朝" w:eastAsia="ＭＳ 明朝"/>
                          <w:b w:val="0"/>
                        </w:rPr>
                        <w:t>契約締結時の要件で判断し，変更契約は考慮しない。</w:t>
                      </w:r>
                    </w:p>
                    <w:p>
                      <w:pPr>
                        <w:pStyle w:val="0"/>
                        <w:ind w:firstLine="210" w:firstLineChars="100"/>
                        <w:jc w:val="left"/>
                        <w:rPr>
                          <w:rFonts w:hint="eastAsia"/>
                          <w:b w:val="0"/>
                        </w:rPr>
                      </w:pPr>
                      <w:r>
                        <w:rPr>
                          <w:rFonts w:hint="eastAsia" w:ascii="ＭＳ 明朝" w:hAnsi="ＭＳ 明朝" w:eastAsia="ＭＳ 明朝"/>
                          <w:b w:val="0"/>
                        </w:rPr>
                        <w:t>繰越明許費の場合は対象外。</w:t>
                      </w:r>
                    </w:p>
                    <w:p>
                      <w:pPr>
                        <w:pStyle w:val="0"/>
                        <w:jc w:val="left"/>
                        <w:rPr>
                          <w:rFonts w:hint="eastAsia"/>
                        </w:rPr>
                      </w:pPr>
                    </w:p>
                  </w:txbxContent>
                </v:textbox>
                <v:imagedata o:title=""/>
                <w10:wrap type="none" anchorx="text" anchory="text"/>
              </v:shape>
            </w:pict>
          </mc:Fallback>
        </mc:AlternateContent>
      </w:r>
    </w:p>
    <w:p>
      <w:pPr>
        <w:pStyle w:val="0"/>
        <w:rPr>
          <w:rFonts w:hint="eastAsia" w:ascii="HG丸ｺﾞｼｯｸM-PRO" w:hAnsi="HG丸ｺﾞｼｯｸM-PRO" w:eastAsia="HG丸ｺﾞｼｯｸM-PRO"/>
        </w:rPr>
      </w:pPr>
    </w:p>
    <w:p>
      <w:pPr>
        <w:pStyle w:val="0"/>
        <w:rPr>
          <w:rFonts w:hint="eastAsia" w:ascii="HG丸ｺﾞｼｯｸM-PRO" w:hAnsi="HG丸ｺﾞｼｯｸM-PRO" w:eastAsia="HG丸ｺﾞｼｯｸM-PRO"/>
        </w:rPr>
      </w:pPr>
    </w:p>
    <w:p>
      <w:pPr>
        <w:pStyle w:val="0"/>
        <w:rPr>
          <w:rFonts w:hint="eastAsia" w:ascii="HG丸ｺﾞｼｯｸM-PRO" w:hAnsi="HG丸ｺﾞｼｯｸM-PRO" w:eastAsia="HG丸ｺﾞｼｯｸM-PRO"/>
        </w:rPr>
      </w:pPr>
    </w:p>
    <w:p>
      <w:pPr>
        <w:pStyle w:val="0"/>
        <w:rPr>
          <w:rFonts w:hint="eastAsia" w:ascii="HG丸ｺﾞｼｯｸM-PRO" w:hAnsi="HG丸ｺﾞｼｯｸM-PRO" w:eastAsia="HG丸ｺﾞｼｯｸM-PRO"/>
        </w:rPr>
      </w:pPr>
    </w:p>
    <w:p>
      <w:pPr>
        <w:pStyle w:val="0"/>
        <w:rPr>
          <w:rFonts w:hint="eastAsia" w:ascii="HG丸ｺﾞｼｯｸM-PRO" w:hAnsi="HG丸ｺﾞｼｯｸM-PRO" w:eastAsia="HG丸ｺﾞｼｯｸM-PRO"/>
        </w:rPr>
      </w:pPr>
    </w:p>
    <w:p>
      <w:pPr>
        <w:pStyle w:val="0"/>
        <w:ind w:leftChars="0" w:firstLine="0" w:firstLineChars="0"/>
        <w:rPr>
          <w:rFonts w:hint="eastAsia" w:ascii="HG丸ｺﾞｼｯｸM-PRO" w:hAnsi="HG丸ｺﾞｼｯｸM-PRO" w:eastAsia="HG丸ｺﾞｼｯｸM-PRO"/>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212725</wp:posOffset>
                </wp:positionH>
                <wp:positionV relativeFrom="paragraph">
                  <wp:posOffset>83820</wp:posOffset>
                </wp:positionV>
                <wp:extent cx="3723005" cy="110363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3723005" cy="110363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rPr>
                            </w:pPr>
                            <w:r>
                              <w:rPr>
                                <w:rFonts w:hint="eastAsia" w:ascii="ＭＳ 明朝" w:hAnsi="ＭＳ 明朝" w:eastAsia="ＭＳ 明朝"/>
                              </w:rPr>
                              <w:t>２　</w:t>
                            </w:r>
                            <w:r>
                              <w:rPr>
                                <w:rFonts w:hint="eastAsia" w:ascii="ＭＳ 明朝" w:hAnsi="ＭＳ 明朝" w:eastAsia="ＭＳ 明朝"/>
                                <w:u w:val="double" w:color="auto"/>
                              </w:rPr>
                              <w:t>補助対象工事</w:t>
                            </w: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国又は岡山県へ中間前金払が可能かどうかを確認する。</w:t>
                            </w:r>
                          </w:p>
                          <w:p>
                            <w:pPr>
                              <w:pStyle w:val="0"/>
                              <w:ind w:firstLine="210" w:firstLineChars="100"/>
                              <w:rPr>
                                <w:rFonts w:hint="eastAsia"/>
                              </w:rPr>
                            </w:pPr>
                            <w:r>
                              <w:rPr>
                                <w:rFonts w:hint="eastAsia" w:ascii="ＭＳ 明朝" w:hAnsi="ＭＳ 明朝" w:eastAsia="ＭＳ 明朝"/>
                              </w:rPr>
                              <w:t>可能であれば中間前金払を行う。</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6pt;mso-position-vertical-relative:text;mso-position-horizontal-relative:text;position:absolute;height:86.9pt;mso-wrap-distance-top:0pt;width:293.14pt;mso-wrap-distance-left:16pt;margin-left:16.75pt;z-index:3;" o:spid="_x0000_s102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ascii="ＭＳ 明朝" w:hAnsi="ＭＳ 明朝" w:eastAsia="ＭＳ 明朝"/>
                        </w:rPr>
                      </w:pPr>
                      <w:r>
                        <w:rPr>
                          <w:rFonts w:hint="eastAsia" w:ascii="ＭＳ 明朝" w:hAnsi="ＭＳ 明朝" w:eastAsia="ＭＳ 明朝"/>
                        </w:rPr>
                        <w:t>２　</w:t>
                      </w:r>
                      <w:r>
                        <w:rPr>
                          <w:rFonts w:hint="eastAsia" w:ascii="ＭＳ 明朝" w:hAnsi="ＭＳ 明朝" w:eastAsia="ＭＳ 明朝"/>
                          <w:u w:val="double" w:color="auto"/>
                        </w:rPr>
                        <w:t>補助対象工事</w:t>
                      </w: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国又は岡山県へ中間前金払が可能かどうかを確認する。</w:t>
                      </w:r>
                    </w:p>
                    <w:p>
                      <w:pPr>
                        <w:pStyle w:val="0"/>
                        <w:ind w:firstLine="210" w:firstLineChars="100"/>
                        <w:rPr>
                          <w:rFonts w:hint="eastAsia"/>
                        </w:rPr>
                      </w:pPr>
                      <w:r>
                        <w:rPr>
                          <w:rFonts w:hint="eastAsia" w:ascii="ＭＳ 明朝" w:hAnsi="ＭＳ 明朝" w:eastAsia="ＭＳ 明朝"/>
                        </w:rPr>
                        <w:t>可能であれば中間前金払を行う。</w:t>
                      </w:r>
                    </w:p>
                  </w:txbxContent>
                </v:textbox>
                <v:imagedata o:title=""/>
                <w10:wrap type="none" anchorx="text" anchory="text"/>
              </v:shape>
            </w:pict>
          </mc:Fallback>
        </mc:AlternateContent>
      </w:r>
    </w:p>
    <w:p>
      <w:pPr>
        <w:pStyle w:val="0"/>
        <w:rPr>
          <w:rFonts w:hint="eastAsia" w:ascii="HG丸ｺﾞｼｯｸM-PRO" w:hAnsi="HG丸ｺﾞｼｯｸM-PRO" w:eastAsia="HG丸ｺﾞｼｯｸM-PRO"/>
        </w:rPr>
      </w:pPr>
    </w:p>
    <w:p>
      <w:pPr>
        <w:pStyle w:val="0"/>
        <w:rPr>
          <w:rFonts w:hint="eastAsia" w:ascii="HG丸ｺﾞｼｯｸM-PRO" w:hAnsi="HG丸ｺﾞｼｯｸM-PRO" w:eastAsia="HG丸ｺﾞｼｯｸM-PRO"/>
        </w:rPr>
      </w:pPr>
    </w:p>
    <w:p>
      <w:pPr>
        <w:pStyle w:val="0"/>
        <w:rPr>
          <w:rFonts w:hint="eastAsia" w:ascii="HG丸ｺﾞｼｯｸM-PRO" w:hAnsi="HG丸ｺﾞｼｯｸM-PRO" w:eastAsia="HG丸ｺﾞｼｯｸM-PRO"/>
        </w:rPr>
      </w:pPr>
    </w:p>
    <w:p>
      <w:pPr>
        <w:pStyle w:val="0"/>
        <w:rPr>
          <w:rFonts w:hint="eastAsia" w:ascii="HG丸ｺﾞｼｯｸM-PRO" w:hAnsi="HG丸ｺﾞｼｯｸM-PRO" w:eastAsia="HG丸ｺﾞｼｯｸM-PRO"/>
        </w:rPr>
      </w:pPr>
    </w:p>
    <w:p>
      <w:pPr>
        <w:pStyle w:val="0"/>
        <w:rPr>
          <w:rFonts w:hint="eastAsia" w:ascii="HG丸ｺﾞｼｯｸM-PRO" w:hAnsi="HG丸ｺﾞｼｯｸM-PRO" w:eastAsia="HG丸ｺﾞｼｯｸM-PRO"/>
        </w:rPr>
      </w:pPr>
    </w:p>
    <w:p>
      <w:pPr>
        <w:pStyle w:val="0"/>
        <w:rPr>
          <w:rFonts w:hint="eastAsia" w:ascii="HG丸ｺﾞｼｯｸM-PRO" w:hAnsi="HG丸ｺﾞｼｯｸM-PRO" w:eastAsia="HG丸ｺﾞｼｯｸM-PRO"/>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212725</wp:posOffset>
                </wp:positionH>
                <wp:positionV relativeFrom="paragraph">
                  <wp:posOffset>125730</wp:posOffset>
                </wp:positionV>
                <wp:extent cx="4349750" cy="100838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4349750" cy="100838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rPr>
                            </w:pPr>
                            <w:r>
                              <w:rPr>
                                <w:rFonts w:hint="eastAsia" w:ascii="ＭＳ 明朝" w:hAnsi="ＭＳ 明朝" w:eastAsia="ＭＳ 明朝"/>
                              </w:rPr>
                              <w:t>３　</w:t>
                            </w:r>
                            <w:r>
                              <w:rPr>
                                <w:rFonts w:hint="eastAsia" w:ascii="ＭＳ 明朝" w:hAnsi="ＭＳ 明朝" w:eastAsia="ＭＳ 明朝"/>
                                <w:u w:val="double" w:color="auto"/>
                              </w:rPr>
                              <w:t>災害復旧（応急復旧）工事</w:t>
                            </w:r>
                          </w:p>
                          <w:p>
                            <w:pPr>
                              <w:pStyle w:val="0"/>
                              <w:ind w:firstLine="210" w:firstLineChars="100"/>
                              <w:rPr>
                                <w:rFonts w:hint="eastAsia" w:ascii="ＭＳ 明朝" w:hAnsi="ＭＳ 明朝" w:eastAsia="ＭＳ 明朝"/>
                              </w:rPr>
                            </w:pPr>
                          </w:p>
                          <w:p>
                            <w:pPr>
                              <w:pStyle w:val="0"/>
                              <w:ind w:left="0" w:leftChars="0" w:firstLine="210" w:firstLineChars="100"/>
                              <w:rPr>
                                <w:rFonts w:hint="eastAsia"/>
                              </w:rPr>
                            </w:pPr>
                            <w:r>
                              <w:rPr>
                                <w:rFonts w:hint="eastAsia" w:ascii="ＭＳ 明朝" w:hAnsi="ＭＳ 明朝" w:eastAsia="ＭＳ 明朝"/>
                              </w:rPr>
                              <w:t>「２補助対象工事」ではない場合，中間前金払の対象とする。</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9pt;mso-position-vertical-relative:text;mso-position-horizontal-relative:text;position:absolute;height:79.400000000000006pt;mso-wrap-distance-top:0pt;width:342.5pt;mso-wrap-distance-left:16pt;margin-left:16.75pt;z-index:4;" o:spid="_x0000_s1028"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ascii="ＭＳ 明朝" w:hAnsi="ＭＳ 明朝" w:eastAsia="ＭＳ 明朝"/>
                        </w:rPr>
                      </w:pPr>
                      <w:r>
                        <w:rPr>
                          <w:rFonts w:hint="eastAsia" w:ascii="ＭＳ 明朝" w:hAnsi="ＭＳ 明朝" w:eastAsia="ＭＳ 明朝"/>
                        </w:rPr>
                        <w:t>３　</w:t>
                      </w:r>
                      <w:r>
                        <w:rPr>
                          <w:rFonts w:hint="eastAsia" w:ascii="ＭＳ 明朝" w:hAnsi="ＭＳ 明朝" w:eastAsia="ＭＳ 明朝"/>
                          <w:u w:val="double" w:color="auto"/>
                        </w:rPr>
                        <w:t>災害復旧（応急復旧）工事</w:t>
                      </w:r>
                    </w:p>
                    <w:p>
                      <w:pPr>
                        <w:pStyle w:val="0"/>
                        <w:ind w:firstLine="210" w:firstLineChars="100"/>
                        <w:rPr>
                          <w:rFonts w:hint="eastAsia" w:ascii="ＭＳ 明朝" w:hAnsi="ＭＳ 明朝" w:eastAsia="ＭＳ 明朝"/>
                        </w:rPr>
                      </w:pPr>
                    </w:p>
                    <w:p>
                      <w:pPr>
                        <w:pStyle w:val="0"/>
                        <w:ind w:left="0" w:leftChars="0" w:firstLine="210" w:firstLineChars="100"/>
                        <w:rPr>
                          <w:rFonts w:hint="eastAsia"/>
                        </w:rPr>
                      </w:pPr>
                      <w:r>
                        <w:rPr>
                          <w:rFonts w:hint="eastAsia" w:ascii="ＭＳ 明朝" w:hAnsi="ＭＳ 明朝" w:eastAsia="ＭＳ 明朝"/>
                        </w:rPr>
                        <w:t>「２補助対象工事」ではない場合，中間前金払の対象とする。</w:t>
                      </w:r>
                    </w:p>
                  </w:txbxContent>
                </v:textbox>
                <v:imagedata o:title=""/>
                <w10:wrap type="none" anchorx="text" anchory="text"/>
              </v:shape>
            </w:pict>
          </mc:Fallback>
        </mc:AlternateContent>
      </w:r>
    </w:p>
    <w:p>
      <w:pPr>
        <w:pStyle w:val="0"/>
        <w:rPr>
          <w:rFonts w:hint="eastAsia" w:ascii="HG丸ｺﾞｼｯｸM-PRO" w:hAnsi="HG丸ｺﾞｼｯｸM-PRO" w:eastAsia="HG丸ｺﾞｼｯｸM-PRO"/>
        </w:rPr>
      </w:pPr>
    </w:p>
    <w:p>
      <w:pPr>
        <w:pStyle w:val="0"/>
        <w:rPr>
          <w:rFonts w:hint="eastAsia" w:ascii="HG丸ｺﾞｼｯｸM-PRO" w:hAnsi="HG丸ｺﾞｼｯｸM-PRO" w:eastAsia="HG丸ｺﾞｼｯｸM-PRO"/>
        </w:rPr>
      </w:pPr>
    </w:p>
    <w:p>
      <w:pPr>
        <w:pStyle w:val="0"/>
        <w:rPr>
          <w:rFonts w:hint="eastAsia" w:ascii="HG丸ｺﾞｼｯｸM-PRO" w:hAnsi="HG丸ｺﾞｼｯｸM-PRO" w:eastAsia="HG丸ｺﾞｼｯｸM-PRO"/>
        </w:rPr>
      </w:pP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　　　　　　　</w:t>
      </w:r>
    </w:p>
    <w:p>
      <w:pPr>
        <w:pStyle w:val="0"/>
        <w:rPr>
          <w:rFonts w:hint="eastAsia" w:ascii="HG丸ｺﾞｼｯｸM-PRO" w:hAnsi="HG丸ｺﾞｼｯｸM-PRO" w:eastAsia="HG丸ｺﾞｼｯｸM-PRO"/>
        </w:rPr>
      </w:pPr>
    </w:p>
    <w:p>
      <w:pPr>
        <w:pStyle w:val="0"/>
        <w:ind w:firstLine="480" w:firstLineChars="200"/>
        <w:rPr>
          <w:rFonts w:hint="eastAsia" w:ascii="HG丸ｺﾞｼｯｸM-PRO" w:hAnsi="HG丸ｺﾞｼｯｸM-PRO" w:eastAsia="HG丸ｺﾞｼｯｸM-PRO"/>
        </w:rPr>
      </w:pPr>
      <w:r>
        <w:rPr>
          <w:rFonts w:hint="eastAsia" w:ascii="HG丸ｺﾞｼｯｸM-PRO" w:hAnsi="HG丸ｺﾞｼｯｸM-PRO" w:eastAsia="HG丸ｺﾞｼｯｸM-PRO"/>
          <w:b w:val="1"/>
          <w:sz w:val="24"/>
          <w:u w:val="double" w:color="auto"/>
        </w:rPr>
        <w:t>優先順位１から３の順で適応する。</w:t>
      </w:r>
    </w:p>
    <w:p>
      <w:pPr>
        <w:pStyle w:val="0"/>
        <w:rPr>
          <w:rFonts w:hint="eastAsia" w:ascii="HG丸ｺﾞｼｯｸM-PRO" w:hAnsi="HG丸ｺﾞｼｯｸM-PRO" w:eastAsia="HG丸ｺﾞｼｯｸM-PRO"/>
        </w:rPr>
      </w:pPr>
    </w:p>
    <w:p>
      <w:pPr>
        <w:pStyle w:val="0"/>
        <w:rPr>
          <w:rFonts w:hint="eastAsia" w:ascii="HG丸ｺﾞｼｯｸM-PRO" w:hAnsi="HG丸ｺﾞｼｯｸM-PRO" w:eastAsia="HG丸ｺﾞｼｯｸM-PRO"/>
        </w:rPr>
      </w:pPr>
      <w:bookmarkStart w:id="0" w:name="_GoBack"/>
      <w:bookmarkEnd w:id="0"/>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b w:val="1"/>
        </w:rPr>
        <w:t>【笠岡市で災害が多数発生した場合】</w:t>
      </w:r>
      <w:r>
        <w:rPr>
          <w:rFonts w:hint="eastAsia" w:ascii="HG丸ｺﾞｼｯｸM-PRO" w:hAnsi="HG丸ｺﾞｼｯｸM-PRO" w:eastAsia="HG丸ｺﾞｼｯｸM-PRO"/>
        </w:rPr>
        <w:t>　</w:t>
      </w:r>
    </w:p>
    <w:p>
      <w:pPr>
        <w:pStyle w:val="0"/>
        <w:ind w:firstLine="210" w:firstLineChars="100"/>
        <w:rPr>
          <w:rFonts w:hint="eastAsia" w:ascii="HG丸ｺﾞｼｯｸM-PRO" w:hAnsi="HG丸ｺﾞｼｯｸM-PRO" w:eastAsia="HG丸ｺﾞｼｯｸM-PRO"/>
        </w:rPr>
      </w:pPr>
      <w:r>
        <w:rPr>
          <w:rFonts w:hint="eastAsia" w:ascii="HG丸ｺﾞｼｯｸM-PRO" w:hAnsi="HG丸ｺﾞｼｯｸM-PRO" w:eastAsia="HG丸ｺﾞｼｯｸM-PRO"/>
        </w:rPr>
        <w:t>上記２，３に該当しない工事</w:t>
      </w:r>
    </w:p>
    <w:p>
      <w:pPr>
        <w:pStyle w:val="0"/>
        <w:ind w:firstLine="210" w:firstLineChars="100"/>
        <w:rPr>
          <w:rFonts w:hint="eastAsia" w:ascii="HG丸ｺﾞｼｯｸM-PRO" w:hAnsi="HG丸ｺﾞｼｯｸM-PRO" w:eastAsia="HG丸ｺﾞｼｯｸM-PRO"/>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119380</wp:posOffset>
                </wp:positionH>
                <wp:positionV relativeFrom="paragraph">
                  <wp:posOffset>243205</wp:posOffset>
                </wp:positionV>
                <wp:extent cx="4478020" cy="95250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4478020" cy="9525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ＭＳ 明朝" w:hAnsi="ＭＳ 明朝" w:eastAsia="ＭＳ 明朝"/>
                              </w:rPr>
                              <w:t>災害が多数発生し，災害対応のために，対象工事の起工が遅れた場合や災害対応で対象工事が中断し工期が延びた場合には，中間前金払の対象とする。</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9.14pt;mso-position-vertical-relative:text;mso-position-horizontal-relative:text;position:absolute;height:75pt;mso-wrap-distance-top:0pt;width:352.6pt;mso-wrap-distance-left:5.65pt;margin-left:9.4pt;z-index:5;" o:spid="_x0000_s1029"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ascii="ＭＳ 明朝" w:hAnsi="ＭＳ 明朝" w:eastAsia="ＭＳ 明朝"/>
                        </w:rPr>
                        <w:t>災害が多数発生し，災害対応のために，対象工事の起工が遅れた場合や災害対応で対象工事が中断し工期が延びた場合には，中間前金払の対象とする。</w:t>
                      </w:r>
                    </w:p>
                  </w:txbxContent>
                </v:textbox>
                <v:imagedata o:title=""/>
                <w10:wrap type="none" anchorx="text" anchory="text"/>
              </v:shape>
            </w:pict>
          </mc:Fallback>
        </mc:AlternateConten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110</TotalTime>
  <Pages>1</Pages>
  <Words>3</Words>
  <Characters>335</Characters>
  <Application>JUST Note</Application>
  <Lines>45</Lines>
  <Paragraphs>15</Paragraphs>
  <Company>笠岡市役所</Company>
  <CharactersWithSpaces>346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J19016</dc:creator>
  <cp:lastModifiedBy>J19016</cp:lastModifiedBy>
  <cp:lastPrinted>2020-04-14T05:48:06Z</cp:lastPrinted>
  <dcterms:created xsi:type="dcterms:W3CDTF">2020-04-14T04:01:00Z</dcterms:created>
  <dcterms:modified xsi:type="dcterms:W3CDTF">2020-04-14T05:49:33Z</dcterms:modified>
  <cp:revision>11</cp:revision>
</cp:coreProperties>
</file>