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23"/>
        </w:tabs>
        <w:ind w:left="452" w:hanging="452" w:hangingChars="200"/>
        <w:jc w:val="center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週休２日促進工事における補正・積算方法</w:t>
      </w: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１</w:t>
      </w:r>
      <w:r>
        <w:rPr>
          <w:rFonts w:hint="eastAsia" w:ascii="ＭＳ ゴシック" w:hAnsi="ＭＳ ゴシック" w:eastAsia="ＭＳ ゴシック"/>
          <w:sz w:val="22"/>
        </w:rPr>
        <w:t>.</w:t>
      </w:r>
      <w:r>
        <w:rPr>
          <w:rFonts w:hint="eastAsia" w:ascii="ＭＳ ゴシック" w:hAnsi="ＭＳ ゴシック" w:eastAsia="ＭＳ ゴシック"/>
          <w:sz w:val="22"/>
        </w:rPr>
        <w:t>　工事費の積算方法</w:t>
      </w:r>
    </w:p>
    <w:p>
      <w:pPr>
        <w:pStyle w:val="0"/>
        <w:ind w:left="226" w:leftChars="1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週休２日促進工事においては、次の補正係数により、労務費（予定価格のもととなる工事費の積算に用いる複合単価、市場単価及び物価資料の掲載価格（材工単価）の労務費）を補正することとし、「２</w:t>
      </w:r>
      <w:r>
        <w:rPr>
          <w:rFonts w:hint="eastAsia" w:ascii="ＭＳ ゴシック" w:hAnsi="ＭＳ ゴシック" w:eastAsia="ＭＳ ゴシック"/>
          <w:sz w:val="22"/>
        </w:rPr>
        <w:t>.</w:t>
      </w:r>
      <w:r>
        <w:rPr>
          <w:rFonts w:hint="eastAsia" w:ascii="ＭＳ ゴシック" w:hAnsi="ＭＳ ゴシック" w:eastAsia="ＭＳ ゴシック"/>
          <w:sz w:val="22"/>
        </w:rPr>
        <w:t>単価の補正方法等」に基づき労務費を補正した複合単価及び市場単価等により、予定価格のもととなる工事費の積算を行う。</w:t>
      </w:r>
    </w:p>
    <w:p>
      <w:pPr>
        <w:pStyle w:val="0"/>
        <w:ind w:left="0" w:leftChars="1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・４週８休以上（現場閉所（現場休息）率　２８</w:t>
      </w:r>
      <w:r>
        <w:rPr>
          <w:rFonts w:hint="eastAsia" w:ascii="ＭＳ ゴシック" w:hAnsi="ＭＳ ゴシック" w:eastAsia="ＭＳ ゴシック"/>
          <w:sz w:val="22"/>
        </w:rPr>
        <w:t>.</w:t>
      </w:r>
      <w:r>
        <w:rPr>
          <w:rFonts w:hint="eastAsia" w:ascii="ＭＳ ゴシック" w:hAnsi="ＭＳ ゴシック" w:eastAsia="ＭＳ ゴシック"/>
          <w:sz w:val="22"/>
        </w:rPr>
        <w:t>５％（８日／２８日）以上）１</w:t>
      </w:r>
      <w:r>
        <w:rPr>
          <w:rFonts w:hint="eastAsia" w:ascii="ＭＳ ゴシック" w:hAnsi="ＭＳ ゴシック" w:eastAsia="ＭＳ ゴシック"/>
          <w:sz w:val="22"/>
        </w:rPr>
        <w:t>.</w:t>
      </w:r>
      <w:r>
        <w:rPr>
          <w:rFonts w:hint="eastAsia" w:ascii="ＭＳ ゴシック" w:hAnsi="ＭＳ ゴシック" w:eastAsia="ＭＳ ゴシック"/>
          <w:sz w:val="22"/>
        </w:rPr>
        <w:t>０５</w:t>
      </w:r>
    </w:p>
    <w:p>
      <w:pPr>
        <w:pStyle w:val="0"/>
        <w:ind w:left="226" w:leftChars="1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２</w:t>
      </w:r>
      <w:r>
        <w:rPr>
          <w:rFonts w:hint="eastAsia" w:ascii="ＭＳ ゴシック" w:hAnsi="ＭＳ ゴシック" w:eastAsia="ＭＳ ゴシック"/>
          <w:sz w:val="22"/>
        </w:rPr>
        <w:t>.</w:t>
      </w:r>
      <w:r>
        <w:rPr>
          <w:rFonts w:hint="eastAsia" w:ascii="ＭＳ ゴシック" w:hAnsi="ＭＳ ゴシック" w:eastAsia="ＭＳ ゴシック"/>
          <w:sz w:val="22"/>
        </w:rPr>
        <w:t>　単価の補正方法等</w:t>
      </w:r>
    </w:p>
    <w:p>
      <w:pPr>
        <w:pStyle w:val="0"/>
        <w:ind w:left="226" w:leftChars="1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工事費の積算に用いる単価の補正方法等は以下による。</w:t>
      </w: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（１）複合単価</w:t>
      </w:r>
    </w:p>
    <w:p>
      <w:pPr>
        <w:pStyle w:val="0"/>
        <w:ind w:left="452" w:leftChars="2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複合単価の労務単価は、公共工事設計労務単価に補正係数１</w:t>
      </w:r>
      <w:r>
        <w:rPr>
          <w:rFonts w:hint="eastAsia" w:ascii="ＭＳ ゴシック" w:hAnsi="ＭＳ ゴシック" w:eastAsia="ＭＳ ゴシック"/>
          <w:sz w:val="22"/>
        </w:rPr>
        <w:t>.</w:t>
      </w:r>
      <w:r>
        <w:rPr>
          <w:rFonts w:hint="eastAsia" w:ascii="ＭＳ ゴシック" w:hAnsi="ＭＳ ゴシック" w:eastAsia="ＭＳ ゴシック"/>
          <w:sz w:val="22"/>
        </w:rPr>
        <w:t>０５を乗じて補正する。なお、交通誘導警備員の労務単価についても同様とする。</w:t>
      </w: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（２）市場単価、補正市場単価及び物価資料の掲載価格</w:t>
      </w:r>
    </w:p>
    <w:p>
      <w:pPr>
        <w:pStyle w:val="0"/>
        <w:ind w:left="452" w:leftChars="2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市場単価と補正市場単価は、補正係数１．０５から算出した以下の表Ａ－２、表Ｅ－２及び表Ｍ－２の補正率を用いた以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下の式により補正する。</w:t>
      </w:r>
    </w:p>
    <w:p>
      <w:pPr>
        <w:pStyle w:val="0"/>
        <w:ind w:left="0" w:leftChars="1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【新営工事の場合】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・市場単価×新営補正率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・補正市場単価×新営補正率</w:t>
      </w:r>
    </w:p>
    <w:p>
      <w:pPr>
        <w:pStyle w:val="0"/>
        <w:ind w:left="0" w:leftChars="1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【全館無人改修の場合（基準単価の算定）】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・市場単価×新営補正率</w:t>
      </w:r>
    </w:p>
    <w:p>
      <w:pPr>
        <w:pStyle w:val="0"/>
        <w:tabs>
          <w:tab w:val="left" w:leader="none" w:pos="673"/>
        </w:tabs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・補正市場単価×新営補正率</w:t>
      </w:r>
    </w:p>
    <w:p>
      <w:pPr>
        <w:pStyle w:val="0"/>
        <w:ind w:left="0" w:leftChars="1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【執務並行改修の場合（基準補正単価の算定）】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・市場単価×改修補正率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・補正市場単価×改修補正率</w:t>
      </w:r>
    </w:p>
    <w:p>
      <w:pPr>
        <w:pStyle w:val="0"/>
        <w:ind w:left="0" w:leftChars="100" w:firstLine="0" w:firstLineChars="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（参考）</w:t>
      </w:r>
    </w:p>
    <w:p>
      <w:pPr>
        <w:pStyle w:val="0"/>
        <w:ind w:left="452" w:leftChars="2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「基準単価」、「基準補正単価」とは、公共建築工事積算基準等資料第４編第１章８（３）による。</w:t>
      </w:r>
    </w:p>
    <w:p>
      <w:pPr>
        <w:pStyle w:val="0"/>
        <w:ind w:left="678" w:leftChars="300" w:firstLine="226" w:firstLineChars="1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執務並行改修の場合の基準補正単価は、公共建築工事積算基準等資料第４編第１章８（３）ロ、基準補正単価の表Ａ－１、表Ｅ－１及び表Ｍ－１の「市場単価及び補正市場単価改修補正率」によらず、表Ａ－２、表Ｅ－２及び表Ｍ－２の改修補正率を用いた上記の式により市場単価（または補正市場単価）を補正して算定すること。物価資料の掲載価格（市場単価以外の材工単価）を採用する場合は、掲載価格を、表Ａ－２、表Ｅ－２及び表Ｍ－２の補正率を用いた以下の式により補正する。</w:t>
      </w:r>
    </w:p>
    <w:p>
      <w:pPr>
        <w:pStyle w:val="0"/>
        <w:ind w:left="678" w:leftChars="1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【新営工事の場合】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・物価資料の掲載価格×新営補正率</w:t>
      </w:r>
    </w:p>
    <w:p>
      <w:pPr>
        <w:pStyle w:val="0"/>
        <w:ind w:left="678" w:leftChars="1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【全館無人改修、執務並行改修の場合】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・物価資料の掲載価格×改修補正率</w:t>
      </w:r>
    </w:p>
    <w:p>
      <w:pPr>
        <w:pStyle w:val="0"/>
        <w:ind w:left="1130" w:leftChars="300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表Ａ－２建築工事の補正率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3006"/>
        <w:gridCol w:w="1707"/>
        <w:gridCol w:w="2251"/>
        <w:gridCol w:w="2270"/>
      </w:tblGrid>
      <w:tr>
        <w:trPr>
          <w:trHeight w:val="454" w:hRule="exact"/>
        </w:trPr>
        <w:tc>
          <w:tcPr>
            <w:tcW w:w="3006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種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摘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要※</w:t>
            </w:r>
          </w:p>
        </w:tc>
        <w:tc>
          <w:tcPr>
            <w:tcW w:w="452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４週８休以上</w:t>
            </w:r>
          </w:p>
        </w:tc>
      </w:tr>
      <w:tr>
        <w:trPr>
          <w:trHeight w:val="454" w:hRule="exact"/>
        </w:trPr>
        <w:tc>
          <w:tcPr>
            <w:tcW w:w="3006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07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新営補正率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改修補正率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仮設工事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土工事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地業工事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鉄筋工事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コンクリート工事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型枠工事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鉄骨工事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既製コンクリート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防水工事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1.09</w:t>
            </w:r>
          </w:p>
        </w:tc>
      </w:tr>
      <w:tr>
        <w:trPr>
          <w:trHeight w:val="451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防水工事（シーリング）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シーリング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1.17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防水工事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石工事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タイル工事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木工事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屋根及びとい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金属工事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1.11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金属工事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451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左官工事（仕上塗材仕上）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仕上塗材仕上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</w:tr>
      <w:tr>
        <w:trPr>
          <w:trHeight w:val="451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左官工事（仕上塗材仕上以外）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仕上塗材仕上以外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1.18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左官工事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建具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ガラス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1.12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建具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シーリング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1.19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建具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塗装工事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1.18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塗装工事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内外装工事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1.15</w:t>
            </w:r>
          </w:p>
        </w:tc>
      </w:tr>
      <w:tr>
        <w:trPr>
          <w:trHeight w:val="451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内外装工事（ビニル系床材）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ビニル系床材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市場単価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1.10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内外装工事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451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内外装工事（ビニル系床材）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ビニル系床材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物価資料</w:t>
            </w: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ユニットその他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1.01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1.01</w:t>
            </w:r>
          </w:p>
        </w:tc>
      </w:tr>
      <w:tr>
        <w:trPr>
          <w:trHeight w:val="31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排水工事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  <w:tr>
        <w:trPr>
          <w:trHeight w:val="317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舗装工事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</w:tr>
      <w:tr>
        <w:trPr>
          <w:trHeight w:val="432" w:hRule="exact"/>
        </w:trPr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植栽及び屋上緑化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widowControl w:val="0"/>
              <w:rPr>
                <w:rFonts w:hint="eastAsia" w:ascii="ＭＳ ゴシック" w:hAnsi="ＭＳ ゴシック" w:eastAsia="ＭＳ ゴシック"/>
                <w:sz w:val="10"/>
              </w:rPr>
            </w:pPr>
          </w:p>
        </w:tc>
        <w:tc>
          <w:tcPr>
            <w:tcW w:w="2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</w:tbl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※「市場単価」：市場単価及び補正市場単価、「物価資料」：物価資料の掲載価格の補正率を示す。なお、記載が無い項目は市場単価、補正市場単価及び物価資料の掲載価格に共通の補正率を示す。</w:t>
      </w: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表Ｅ－２電気設備工事の補正率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294"/>
        <w:gridCol w:w="3412"/>
        <w:gridCol w:w="1800"/>
        <w:gridCol w:w="1728"/>
      </w:tblGrid>
      <w:tr>
        <w:trPr>
          <w:trHeight w:val="454" w:hRule="exact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種</w:t>
            </w: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摘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要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４週８休以上</w:t>
            </w:r>
          </w:p>
        </w:tc>
      </w:tr>
      <w:tr>
        <w:trPr>
          <w:trHeight w:val="454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新営補正率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改修補正率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配管工事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電線管、２種金属線ぴ及び同ボックス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1.22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ケーブルラック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1.17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位置ボックス及び位置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ボックス用ボンディング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1.21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プルボックス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1.02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1.15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プルボックス用接地端子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1.00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1.00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防火区画貫通処理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ｹｰﾌﾞﾙﾗｯｸ用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壁・床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1.16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防火区画貫通処理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金属管・丸型用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1.01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1.06</w:t>
            </w:r>
          </w:p>
        </w:tc>
      </w:tr>
      <w:tr>
        <w:trPr>
          <w:trHeight w:val="680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電動機その他接続材工事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金属製可とう電線管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1.17</w:t>
            </w:r>
          </w:p>
        </w:tc>
      </w:tr>
      <w:tr>
        <w:trPr>
          <w:trHeight w:val="680" w:hRule="exac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配線工事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600V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絶縁電線及び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600V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絶縁ケーブル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1.20</w:t>
            </w:r>
          </w:p>
        </w:tc>
      </w:tr>
      <w:tr>
        <w:trPr>
          <w:trHeight w:val="680" w:hRule="exac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接地工事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接地極工事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銅板式、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銅覆鋼棒、接地極埋設票（金属製）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票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金属製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1.03</w:t>
            </w:r>
          </w:p>
        </w:tc>
      </w:tr>
    </w:tbl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</w:p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表Ｍ－２機械設備工事の補正率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2294"/>
        <w:gridCol w:w="3412"/>
        <w:gridCol w:w="1800"/>
        <w:gridCol w:w="1728"/>
      </w:tblGrid>
      <w:tr>
        <w:trPr>
          <w:trHeight w:val="567" w:hRule="exact"/>
        </w:trPr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工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種</w:t>
            </w:r>
          </w:p>
        </w:tc>
        <w:tc>
          <w:tcPr>
            <w:tcW w:w="341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摘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要</w:t>
            </w:r>
          </w:p>
        </w:tc>
        <w:tc>
          <w:tcPr>
            <w:tcW w:w="352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４週８休以上</w:t>
            </w:r>
          </w:p>
        </w:tc>
      </w:tr>
      <w:tr>
        <w:trPr>
          <w:trHeight w:val="567" w:hRule="exact"/>
        </w:trPr>
        <w:tc>
          <w:tcPr>
            <w:tcW w:w="22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1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新営補正率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改修補正率</w:t>
            </w:r>
          </w:p>
        </w:tc>
      </w:tr>
      <w:tr>
        <w:trPr>
          <w:trHeight w:val="680" w:hRule="exac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保温工事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配管用、ダクト用及び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消音内貼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1.18</w:t>
            </w:r>
          </w:p>
        </w:tc>
      </w:tr>
      <w:tr>
        <w:trPr>
          <w:trHeight w:val="680" w:hRule="exac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ダクト設備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低圧ﾀﾞｸﾄ、排煙ﾀﾞｸﾄ及び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低圧ﾁｬﾝﾊﾞｰ類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1.03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1.18</w:t>
            </w:r>
          </w:p>
        </w:tc>
      </w:tr>
      <w:tr>
        <w:trPr>
          <w:trHeight w:val="680" w:hRule="exac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ダクト付属品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既製品ﾎﾞｯｸｽ、制気口、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ﾀﾞﾝﾊﾟｰ等の取付手間のみ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1.25</w:t>
            </w:r>
          </w:p>
        </w:tc>
      </w:tr>
      <w:tr>
        <w:trPr>
          <w:trHeight w:val="680" w:hRule="exact"/>
        </w:trPr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bottom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衛生器具設備</w:t>
            </w:r>
          </w:p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(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ユニットを除く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)</w:t>
            </w:r>
          </w:p>
        </w:tc>
        <w:tc>
          <w:tcPr>
            <w:tcW w:w="3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18"/>
                <w:shd w:val="clear" w:color="auto" w:fill="auto"/>
              </w:rPr>
              <w:t>取付手間のみ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1.04</w:t>
            </w:r>
          </w:p>
        </w:tc>
        <w:tc>
          <w:tcPr>
            <w:tcW w:w="1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18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0"/>
                <w:w w:val="100"/>
                <w:position w:val="0"/>
                <w:sz w:val="20"/>
                <w:shd w:val="clear" w:color="auto" w:fill="auto"/>
              </w:rPr>
              <w:t>1.25</w:t>
            </w:r>
          </w:p>
        </w:tc>
      </w:tr>
    </w:tbl>
    <w:p>
      <w:pPr>
        <w:pStyle w:val="0"/>
        <w:ind w:left="452" w:hanging="452" w:hangingChars="200"/>
        <w:jc w:val="left"/>
        <w:rPr>
          <w:rFonts w:hint="eastAsia" w:ascii="ＭＳ ゴシック" w:hAnsi="ＭＳ ゴシック" w:eastAsia="ＭＳ ゴシック"/>
          <w:sz w:val="22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Ebrima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mbassy JS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Ink Free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mic Sans MS">
    <w:panose1 w:val="00000000000000000000"/>
    <w:charset w:val="00"/>
    <w:family w:val="script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isplayBackgroundShape/>
  <w:bordersDoNotSurroundHeader/>
  <w:bordersDoNotSurroundFooter/>
  <w:defaultTabStop w:val="840"/>
  <w:hyphenationZone w:val="0"/>
  <w:drawingGridHorizontalSpacing w:val="2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その他|1_"/>
    <w:basedOn w:val="10"/>
    <w:next w:val="17"/>
    <w:link w:val="18"/>
    <w:uiPriority w:val="0"/>
    <w:rPr>
      <w:u w:val="none" w:color="auto"/>
    </w:rPr>
  </w:style>
  <w:style w:type="paragraph" w:styleId="18" w:customStyle="1">
    <w:name w:val="その他|1"/>
    <w:basedOn w:val="0"/>
    <w:next w:val="18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8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12700" cmpd="sng">
          <a:solidFill>
            <a:srgbClr val="000000"/>
          </a:solidFill>
          <a:headEnd/>
          <a:tailEnd/>
        </a:ln>
      </a:spPr>
      <a:bodyPr vertOverflow="overflow" horzOverflow="overflow" lIns="74295" tIns="8890" rIns="74295" bIns="8890"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3</Pages>
  <Words>190</Words>
  <Characters>2025</Characters>
  <Application>JUST Note</Application>
  <Lines>883</Lines>
  <Paragraphs>225</Paragraphs>
  <CharactersWithSpaces>2034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J20002</cp:lastModifiedBy>
  <dcterms:modified xsi:type="dcterms:W3CDTF">2023-12-26T02:15:13Z</dcterms:modified>
  <cp:revision>10</cp:revision>
</cp:coreProperties>
</file>