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6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  <w:b w:val="1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週休２日の積算方法について</w:t>
      </w:r>
    </w:p>
    <w:p>
      <w:pPr>
        <w:pStyle w:val="27"/>
        <w:keepNext w:val="1"/>
        <w:keepLines w:val="1"/>
        <w:widowControl w:val="0"/>
        <w:shd w:val="clear" w:color="auto" w:fill="auto"/>
        <w:spacing w:before="0" w:beforeLines="0" w:beforeAutospacing="0" w:after="460" w:afterLines="0" w:afterAutospacing="0" w:line="240" w:lineRule="auto"/>
        <w:ind w:left="0" w:right="0" w:firstLine="0"/>
        <w:jc w:val="center"/>
        <w:rPr>
          <w:rFonts w:hint="default"/>
          <w:b w:val="1"/>
          <w:color w:val="auto"/>
          <w:sz w:val="21"/>
        </w:rPr>
      </w:pPr>
      <w:r>
        <w:rPr>
          <w:rFonts w:hint="eastAsia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（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「港湾請負工事積算基準」「漁港漁場関係工事積算基準」を除く）</w:t>
      </w:r>
    </w:p>
    <w:p>
      <w:pPr>
        <w:pStyle w:val="27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  <w:b w:val="1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○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労務費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・労務単価（夜間、時間外等の補正後）【円未満切捨】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6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＝労務単価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×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夜間及び時間外等による補正係数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・労務単価（週休２日の補正後）【円未満切捨】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after="440" w:afterLines="0" w:afterAutospacing="0" w:line="240" w:lineRule="auto"/>
        <w:ind w:left="6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＝労務単価（夜間、時間外等の補正後）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×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週休２日補正係数</w:t>
      </w:r>
    </w:p>
    <w:p>
      <w:pPr>
        <w:pStyle w:val="27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○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機械経費（賃料）</w:t>
      </w:r>
    </w:p>
    <w:p>
      <w:pPr>
        <w:pStyle w:val="0"/>
        <w:ind w:left="432" w:leftChars="20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機械賃料（週休２日の補正後）【円未満切捨】</w:t>
      </w:r>
    </w:p>
    <w:p>
      <w:pPr>
        <w:pStyle w:val="0"/>
        <w:ind w:left="648" w:leftChars="30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＝機械賃料</w:t>
      </w: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z w:val="22"/>
          <w:vertAlign w:val="superscript"/>
        </w:rPr>
        <w:t>※</w:t>
      </w:r>
      <w:r>
        <w:rPr>
          <w:rFonts w:hint="eastAsia"/>
          <w:color w:val="auto"/>
          <w:sz w:val="21"/>
        </w:rPr>
        <w:t>×</w:t>
      </w:r>
      <w:r>
        <w:rPr>
          <w:rFonts w:hint="default"/>
          <w:color w:val="auto"/>
          <w:sz w:val="21"/>
        </w:rPr>
        <w:t>週休２日補正係数</w:t>
      </w:r>
    </w:p>
    <w:p>
      <w:pPr>
        <w:pStyle w:val="0"/>
        <w:ind w:left="0" w:leftChars="0" w:hanging="432" w:hangingChars="20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※</w:t>
      </w:r>
      <w:r>
        <w:rPr>
          <w:rFonts w:hint="default"/>
          <w:color w:val="auto"/>
          <w:sz w:val="21"/>
        </w:rPr>
        <w:t>機械賃料は、「岡山県公共工事建設資材等単価決定要領及び同運用」に基づき決定した単価</w:t>
      </w:r>
    </w:p>
    <w:p>
      <w:pPr>
        <w:pStyle w:val="0"/>
        <w:ind w:left="216" w:leftChars="100"/>
        <w:jc w:val="left"/>
        <w:rPr>
          <w:rFonts w:hint="default"/>
          <w:color w:val="auto"/>
          <w:sz w:val="21"/>
        </w:rPr>
      </w:pPr>
    </w:p>
    <w:p>
      <w:pPr>
        <w:pStyle w:val="0"/>
        <w:tabs>
          <w:tab w:val="left" w:leader="none" w:pos="213"/>
        </w:tabs>
        <w:ind w:left="0" w:leftChars="0"/>
        <w:jc w:val="left"/>
        <w:rPr>
          <w:rFonts w:hint="default"/>
          <w:color w:val="auto"/>
          <w:sz w:val="21"/>
        </w:rPr>
      </w:pPr>
      <w:r>
        <w:rPr>
          <w:rFonts w:hint="default"/>
          <w:b w:val="1"/>
          <w:color w:val="auto"/>
          <w:sz w:val="21"/>
        </w:rPr>
        <w:t>○</w:t>
      </w:r>
      <w:r>
        <w:rPr>
          <w:rFonts w:hint="default"/>
          <w:b w:val="1"/>
          <w:color w:val="auto"/>
          <w:sz w:val="21"/>
        </w:rPr>
        <w:t>共通仮設費率</w:t>
      </w:r>
    </w:p>
    <w:p>
      <w:pPr>
        <w:pStyle w:val="0"/>
        <w:ind w:left="216" w:leftChars="10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・共通仮設費率</w:t>
      </w:r>
      <w:r>
        <w:rPr>
          <w:rFonts w:hint="eastAsia"/>
          <w:color w:val="auto"/>
          <w:sz w:val="21"/>
        </w:rPr>
        <w:t>（</w:t>
      </w:r>
      <w:r>
        <w:rPr>
          <w:rFonts w:hint="default"/>
          <w:color w:val="auto"/>
          <w:sz w:val="21"/>
        </w:rPr>
        <w:t>補正前</w:t>
      </w:r>
      <w:r>
        <w:rPr>
          <w:rFonts w:hint="eastAsia"/>
          <w:color w:val="auto"/>
          <w:sz w:val="21"/>
        </w:rPr>
        <w:t>）</w:t>
      </w:r>
      <w:r>
        <w:rPr>
          <w:rFonts w:hint="default"/>
          <w:color w:val="auto"/>
          <w:sz w:val="21"/>
        </w:rPr>
        <w:t>【小数第３位四捨五入２位止め】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648" w:leftChars="300" w:right="0" w:firstLine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Ｋ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ｒ＝Ａ・Ｐ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  <w:vertAlign w:val="superscript"/>
        </w:rPr>
        <w:t>b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864" w:leftChars="40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Ｋｒ：共通仮設費率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（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％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864" w:leftChars="40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Ｐ：共通仮設費対象額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 xml:space="preserve"> 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　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Ａ、ｂ：工種毎に決まる係数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・共通仮設費率（施工地域補正後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【小数第３位四捨五入２位止め】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6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＝共通仮設費率（補正前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×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施工地域補正係数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・共通仮設費率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（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週休２日の補正後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【小数第３位四捨五入２位止め】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after="440" w:afterLines="0" w:afterAutospacing="0" w:line="240" w:lineRule="auto"/>
        <w:ind w:left="6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＝共通仮設費率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（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施工地域補正後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×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週休２日補正係数</w:t>
      </w:r>
    </w:p>
    <w:p>
      <w:pPr>
        <w:pStyle w:val="27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○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現場管理費率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・現場管理費率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（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補正前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【小数第３位四捨五入２位止め】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0" w:lineRule="atLeast"/>
        <w:ind w:left="680" w:right="2440" w:firstLine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Ｊ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  <w:vertAlign w:val="subscript"/>
        </w:rPr>
        <w:t>Ｏ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＝Ａ・Ｎｐ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  <w:vertAlign w:val="superscript"/>
        </w:rPr>
        <w:t>b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90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Ｊ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  <w:vertAlign w:val="subscript"/>
        </w:rPr>
        <w:t>Ｏ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：現場管理費率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（％）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90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Ｎ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  <w:vertAlign w:val="baseline"/>
        </w:rPr>
        <w:t>ｐ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：対象純工事費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 xml:space="preserve"> 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　</w:t>
      </w:r>
      <w:bookmarkStart w:id="0" w:name="_GoBack"/>
      <w:bookmarkEnd w:id="0"/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Ａ、ｂ：工種毎に決まる係数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・現場管理費率（施工地域等補正後）【小数第３位四捨五入２位止め】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6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＝現場管理費率（補正前）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×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施工地域補正係数＋補正値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・現場管理費率（週休２日の補正後）【小数第３位四捨五入２位止め】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after="440" w:afterLines="0" w:afterAutospacing="0" w:line="240" w:lineRule="auto"/>
        <w:ind w:left="6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＝現場管理費率（施工地域等補正後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×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週休２日補正係数</w:t>
      </w:r>
    </w:p>
    <w:p>
      <w:pPr>
        <w:pStyle w:val="27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○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市場単価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・市場単価（週休２日の補正後）【円未満切捨】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6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＝市場単価（基準額）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×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週休２日補正係数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right="0" w:firstLine="2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・市場単価（施工規模等の補正後）【円未満切捨】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6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＝市場単価（週休２日の補正後）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×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施工規模等の補正係数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432" w:leftChars="100" w:right="0" w:hanging="216" w:hangingChars="10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u w:val="none" w:color="auto"/>
          <w:shd w:val="clear" w:color="auto" w:fill="auto"/>
        </w:rPr>
        <w:t>※</w:t>
      </w:r>
      <w:r>
        <w:rPr>
          <w:rFonts w:hint="default"/>
          <w:color w:val="auto"/>
          <w:spacing w:val="0"/>
          <w:w w:val="100"/>
          <w:position w:val="0"/>
          <w:sz w:val="21"/>
          <w:u w:val="single" w:color="auto"/>
          <w:shd w:val="clear" w:color="auto" w:fill="auto"/>
        </w:rPr>
        <w:t>市場単価は、週休２日の補正【円未満切捨】</w:t>
      </w:r>
      <w:r>
        <w:rPr>
          <w:rFonts w:hint="default"/>
          <w:color w:val="auto"/>
          <w:spacing w:val="0"/>
          <w:w w:val="100"/>
          <w:position w:val="0"/>
          <w:sz w:val="21"/>
          <w:u w:val="single" w:color="auto"/>
          <w:shd w:val="clear" w:color="auto" w:fill="auto"/>
        </w:rPr>
        <w:t>→</w:t>
      </w:r>
      <w:r>
        <w:rPr>
          <w:rFonts w:hint="default"/>
          <w:color w:val="auto"/>
          <w:spacing w:val="0"/>
          <w:w w:val="100"/>
          <w:position w:val="0"/>
          <w:sz w:val="21"/>
          <w:u w:val="single" w:color="auto"/>
          <w:shd w:val="clear" w:color="auto" w:fill="auto"/>
        </w:rPr>
        <w:t>施工規模等の補正【円未満切捨】の順に補正する。</w:t>
      </w:r>
      <w:r>
        <w:rPr>
          <w:rFonts w:hint="default"/>
          <w:color w:val="auto"/>
          <w:sz w:val="21"/>
        </w:rPr>
        <w:br w:type="page"/>
      </w:r>
    </w:p>
    <w:p>
      <w:pPr>
        <w:pStyle w:val="0"/>
        <w:ind w:firstLine="2938" w:firstLineChars="1300"/>
        <w:rPr>
          <w:rFonts w:hint="default"/>
          <w:b w:val="1"/>
          <w:color w:val="auto"/>
          <w:sz w:val="22"/>
        </w:rPr>
      </w:pPr>
      <w:bookmarkStart w:id="1" w:name="bookmark0"/>
      <w:r>
        <w:rPr>
          <w:rFonts w:hint="default"/>
          <w:b w:val="1"/>
          <w:color w:val="auto"/>
          <w:sz w:val="22"/>
        </w:rPr>
        <w:t>週休２日工事の補正係数について</w:t>
      </w:r>
      <w:bookmarkEnd w:id="1"/>
    </w:p>
    <w:p>
      <w:pPr>
        <w:pStyle w:val="0"/>
        <w:rPr>
          <w:rFonts w:hint="default"/>
          <w:color w:val="auto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34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①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週休２日工事</w:t>
      </w:r>
      <w:r>
        <w:rPr>
          <w:rFonts w:hint="eastAsia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（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発注者指定型</w:t>
      </w:r>
      <w:r>
        <w:rPr>
          <w:rFonts w:hint="eastAsia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hanging="432" w:hangingChars="200"/>
        <w:jc w:val="left"/>
        <w:rPr>
          <w:rFonts w:hint="default"/>
          <w:b w:val="1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○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「土木工事標準積算基準」「機械設備積算基準」「治山林道必携」の場合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714"/>
        <w:gridCol w:w="1502"/>
        <w:gridCol w:w="2040"/>
        <w:gridCol w:w="1699"/>
        <w:gridCol w:w="1704"/>
      </w:tblGrid>
      <w:tr>
        <w:trPr>
          <w:trHeight w:val="384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労務費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機械経費（賃料）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共通仮設費率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現場管理費率</w:t>
            </w:r>
          </w:p>
        </w:tc>
      </w:tr>
      <w:tr>
        <w:trPr>
          <w:trHeight w:val="595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4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8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休以上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1.05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1.04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1.04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1.06</w:t>
            </w:r>
          </w:p>
        </w:tc>
      </w:tr>
    </w:tbl>
    <w:p>
      <w:pPr>
        <w:pStyle w:val="30"/>
        <w:keepNext w:val="0"/>
        <w:keepLines w:val="0"/>
        <w:widowControl w:val="0"/>
        <w:shd w:val="clear" w:color="auto" w:fill="auto"/>
        <w:spacing w:before="0" w:beforeLines="0" w:beforeAutospacing="0" w:after="8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※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　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労務費は、「公共工事設計労務単価」を対象とする。</w:t>
      </w:r>
    </w:p>
    <w:p>
      <w:pPr>
        <w:pStyle w:val="3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※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　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工場製作など製作原価にかかる部分については、対象外とする。</w:t>
      </w:r>
    </w:p>
    <w:p>
      <w:pPr>
        <w:pStyle w:val="0"/>
        <w:widowControl w:val="0"/>
        <w:spacing w:after="339" w:afterLines="0" w:afterAutospacing="0" w:line="1" w:lineRule="exact"/>
        <w:rPr>
          <w:rFonts w:hint="default"/>
          <w:color w:val="auto"/>
          <w:sz w:val="21"/>
        </w:rPr>
      </w:pPr>
    </w:p>
    <w:p>
      <w:pPr>
        <w:pStyle w:val="0"/>
        <w:widowControl w:val="0"/>
        <w:spacing w:line="1" w:lineRule="exact"/>
        <w:rPr>
          <w:rFonts w:hint="default"/>
          <w:b w:val="1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○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「土地改良工事積算基準（土木工事）及び（施設機械）」の場合</w:t>
      </w:r>
    </w:p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714"/>
        <w:gridCol w:w="1502"/>
        <w:gridCol w:w="2040"/>
        <w:gridCol w:w="1699"/>
        <w:gridCol w:w="1704"/>
      </w:tblGrid>
      <w:tr>
        <w:trPr>
          <w:trHeight w:val="379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労務費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機械経費（賃料）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共通仮設費率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現場管理費率</w:t>
            </w:r>
          </w:p>
        </w:tc>
      </w:tr>
      <w:tr>
        <w:trPr>
          <w:trHeight w:val="595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4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8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休以上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1.05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1.04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1.04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21"/>
                <w:shd w:val="clear" w:color="auto" w:fill="auto"/>
              </w:rPr>
              <w:t>1.09</w:t>
            </w:r>
          </w:p>
        </w:tc>
      </w:tr>
    </w:tbl>
    <w:p>
      <w:pPr>
        <w:pStyle w:val="30"/>
        <w:keepNext w:val="0"/>
        <w:keepLines w:val="0"/>
        <w:widowControl w:val="0"/>
        <w:shd w:val="clear" w:color="auto" w:fill="auto"/>
        <w:spacing w:before="0" w:beforeLines="0" w:beforeAutospacing="0" w:after="8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 xml:space="preserve">※ 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労務費は、「公共工事設計労務単価」を対象とする。</w:t>
      </w:r>
    </w:p>
    <w:p>
      <w:pPr>
        <w:pStyle w:val="3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 xml:space="preserve">※ 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工場製作など製作原価にかかる部分については、対象外とする。</w:t>
      </w:r>
    </w:p>
    <w:p>
      <w:pPr>
        <w:pStyle w:val="0"/>
        <w:widowControl w:val="0"/>
        <w:spacing w:after="339" w:afterLines="0" w:afterAutospacing="0" w:line="1" w:lineRule="exac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○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「港湾請負工事積算基準」「漁港漁場関係工事積算基準」の場合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after="340" w:afterLines="0" w:afterAutospacing="0" w:line="240" w:lineRule="auto"/>
        <w:ind w:left="46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笠岡市週休２日工事実施要領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（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港湾・漁港工事</w:t>
      </w:r>
      <w:r>
        <w:rPr>
          <w:rFonts w:hint="eastAsia"/>
          <w:color w:val="auto"/>
          <w:spacing w:val="0"/>
          <w:w w:val="100"/>
          <w:position w:val="0"/>
          <w:sz w:val="21"/>
          <w:shd w:val="clear" w:color="auto" w:fill="auto"/>
        </w:rPr>
        <w:t>）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による</w:t>
      </w:r>
    </w:p>
    <w:p>
      <w:pPr>
        <w:pStyle w:val="0"/>
        <w:keepNext w:val="0"/>
        <w:keepLines w:val="0"/>
        <w:widowControl w:val="0"/>
        <w:shd w:val="clear" w:color="auto" w:fill="auto"/>
        <w:spacing w:before="0" w:beforeLines="0" w:beforeAutospacing="0" w:after="340" w:afterLines="0" w:afterAutospacing="0" w:line="240" w:lineRule="auto"/>
        <w:ind w:left="460" w:right="0" w:firstLine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</w:rPr>
        <w:br w:type="page"/>
      </w: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 xml:space="preserve">○ 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市場単価などの取扱い</w:t>
      </w: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・「土木工事市場単価」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⇒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工種ごとに以下の補正係数を適用</w:t>
      </w:r>
    </w:p>
    <w:tbl>
      <w:tblPr>
        <w:tblStyle w:val="11"/>
        <w:tblpPr w:leftFromText="0" w:rightFromText="0" w:topFromText="0" w:bottomFromText="0" w:vertAnchor="text" w:horzAnchor="margin" w:tblpX="357" w:tblpY="24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89"/>
        <w:gridCol w:w="1075"/>
        <w:gridCol w:w="1505"/>
      </w:tblGrid>
      <w:tr>
        <w:trPr>
          <w:trHeight w:val="419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DADAD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名称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DADAD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区分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DADAD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00" w:lineRule="exact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休以上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鉄筋工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ガス圧接工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1.04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インターロッキングブロック工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防護柵設置工（ガードレール）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防護柵設置工（ガードパイプ）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防護柵設置工（横断・転落防止柵）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1.04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防護柵設置工（落石防護柵）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防護柵設置工（落石防止網）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道路標識設置工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撤去・移設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1.04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道路付属物設置工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法面工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吹付枠工（※）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鉄筋挿入工（ロックボルト工）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道路植栽工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植樹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剪定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公園植栽工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橋梁用伸縮継手装置設置工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橋梁用埋設型伸縮継手装置設置工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1.04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橋面防水工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薄層カラー舗装工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グルービング工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軟弱地盤処理工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コンクリート表面処理工（ウォータージェット工）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4" w:hRule="exact"/>
        </w:trPr>
        <w:tc>
          <w:tcPr>
            <w:tcW w:w="7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8"/>
                <w:highlight w:val="none"/>
                <w:shd w:val="clear" w:color="auto" w:fill="auto"/>
              </w:rPr>
              <w:t>【下水道関連】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区分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補正係数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  <w:t>硬質塩化ビニル管設置工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1.03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リブ付硬質塩化ビニル管設置工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砂基礎工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人力施工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機械施工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砕石基礎工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人力施工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機械施工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組立マンホール設置工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4" w:hRule="exact"/>
        </w:trPr>
        <w:tc>
          <w:tcPr>
            <w:tcW w:w="4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小型マンホール工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4" w:hRule="exact"/>
        </w:trPr>
        <w:tc>
          <w:tcPr>
            <w:tcW w:w="4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取付管およびます設置工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ます設置工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504" w:hRule="exact"/>
        </w:trPr>
        <w:tc>
          <w:tcPr>
            <w:tcW w:w="4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00" w:lineRule="exact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取付管布設及び支管取付工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</w:tbl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0" distR="0" simplePos="0" relativeHeight="2" behindDoc="0" locked="0" layoutInCell="1" hidden="0" allowOverlap="1">
                <wp:simplePos x="0" y="0"/>
                <wp:positionH relativeFrom="page">
                  <wp:posOffset>1160780</wp:posOffset>
                </wp:positionH>
                <wp:positionV relativeFrom="paragraph">
                  <wp:posOffset>184150</wp:posOffset>
                </wp:positionV>
                <wp:extent cx="4179570" cy="389890"/>
                <wp:effectExtent l="0" t="0" r="635" b="635"/>
                <wp:wrapNone/>
                <wp:docPr id="1026" name="Shape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Shape 11"/>
                      <wps:cNvSpPr txBox="1"/>
                      <wps:spPr>
                        <a:xfrm>
                          <a:off x="0" y="0"/>
                          <a:ext cx="417957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after="140" w:afterLines="0" w:afterAutospacing="0" w:line="240" w:lineRule="auto"/>
                              <w:ind w:left="0" w:righ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※ </w:t>
                            </w: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簡易吹付法枠工（物価資料掲載以外の市場単価）については、吹付枠工を準用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style="mso-wrap-distance-right:0pt;mso-wrap-distance-bottom:0pt;margin-top:14.5pt;mso-position-vertical-relative:text;mso-position-horizontal-relative:page;position:absolute;height:30.7pt;mso-wrap-distance-top:0pt;width:329.1pt;mso-wrap-distance-left:0pt;margin-left:91.4pt;z-index:2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3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after="140" w:afterLines="0" w:afterAutospacing="0" w:line="240" w:lineRule="auto"/>
                        <w:ind w:left="0" w:righ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※ </w:t>
                      </w: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簡易吹付法枠工（物価資料掲載以外の市場単価）については、吹付枠工を準用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color w:val="auto"/>
          <w:sz w:val="21"/>
        </w:rPr>
      </w:pP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after="360" w:afterLines="0" w:afterAutospacing="0" w:line="240" w:lineRule="auto"/>
        <w:ind w:left="216" w:leftChars="10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・「土木工事標準単価」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⇒</w:t>
      </w: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「土木コスト情報」及び「土木施工単価」に掲載の単価を使用</w:t>
      </w: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  <w:b w:val="1"/>
          <w:color w:val="auto"/>
          <w:sz w:val="21"/>
        </w:rPr>
      </w:pP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 xml:space="preserve">○ </w:t>
      </w:r>
      <w:r>
        <w:rPr>
          <w:rFonts w:hint="default"/>
          <w:b w:val="1"/>
          <w:color w:val="auto"/>
          <w:spacing w:val="0"/>
          <w:w w:val="100"/>
          <w:position w:val="0"/>
          <w:sz w:val="21"/>
          <w:shd w:val="clear" w:color="auto" w:fill="auto"/>
        </w:rPr>
        <w:t>その他</w:t>
      </w:r>
    </w:p>
    <w:p>
      <w:pPr>
        <w:pStyle w:val="25"/>
        <w:keepNext w:val="0"/>
        <w:keepLines w:val="0"/>
        <w:widowControl w:val="0"/>
        <w:shd w:val="clear" w:color="auto" w:fill="auto"/>
        <w:spacing w:before="0" w:beforeLines="0" w:beforeAutospacing="0" w:after="220" w:afterLines="0" w:afterAutospacing="0" w:line="240" w:lineRule="auto"/>
        <w:ind w:left="380" w:right="0" w:firstLine="0"/>
        <w:jc w:val="left"/>
        <w:rPr>
          <w:rFonts w:hint="default"/>
          <w:color w:val="auto"/>
          <w:sz w:val="21"/>
        </w:rPr>
      </w:pPr>
      <w:r>
        <w:rPr>
          <w:rFonts w:hint="default"/>
          <w:color w:val="auto"/>
          <w:spacing w:val="0"/>
          <w:w w:val="100"/>
          <w:position w:val="0"/>
          <w:sz w:val="21"/>
          <w:shd w:val="clear" w:color="auto" w:fill="auto"/>
        </w:rPr>
        <w:t>積算基準が異なる工種区分を有する工事は、主たる工種における補正係数を適用</w:t>
      </w:r>
    </w:p>
    <w:p>
      <w:pPr>
        <w:pStyle w:val="2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color w:val="auto"/>
          <w:sz w:val="21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3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oper Black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E..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・ックE..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oloLens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18"/>
    <w:uiPriority w:val="0"/>
    <w:rPr>
      <w:sz w:val="22"/>
      <w:u w:val="none" w:color="auto"/>
    </w:rPr>
  </w:style>
  <w:style w:type="paragraph" w:styleId="18" w:customStyle="1">
    <w:name w:val="その他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本文|2_"/>
    <w:basedOn w:val="10"/>
    <w:next w:val="19"/>
    <w:link w:val="25"/>
    <w:uiPriority w:val="0"/>
    <w:rPr>
      <w:sz w:val="22"/>
      <w:u w:val="none" w:color="auto"/>
    </w:rPr>
  </w:style>
  <w:style w:type="character" w:styleId="20" w:customStyle="1">
    <w:name w:val="見出し #1|1_"/>
    <w:basedOn w:val="10"/>
    <w:next w:val="20"/>
    <w:link w:val="26"/>
    <w:uiPriority w:val="0"/>
    <w:rPr>
      <w:u w:val="none" w:color="auto"/>
    </w:rPr>
  </w:style>
  <w:style w:type="character" w:styleId="21" w:customStyle="1">
    <w:name w:val="見出し #2|1_"/>
    <w:basedOn w:val="10"/>
    <w:next w:val="21"/>
    <w:link w:val="27"/>
    <w:uiPriority w:val="0"/>
    <w:rPr>
      <w:sz w:val="22"/>
      <w:u w:val="none" w:color="auto"/>
    </w:rPr>
  </w:style>
  <w:style w:type="character" w:styleId="22" w:customStyle="1">
    <w:name w:val="本文|4_"/>
    <w:basedOn w:val="10"/>
    <w:next w:val="22"/>
    <w:link w:val="28"/>
    <w:uiPriority w:val="0"/>
    <w:rPr>
      <w:sz w:val="13"/>
      <w:u w:val="none" w:color="auto"/>
    </w:rPr>
  </w:style>
  <w:style w:type="character" w:styleId="23" w:customStyle="1">
    <w:name w:val="本文|1_"/>
    <w:basedOn w:val="10"/>
    <w:next w:val="23"/>
    <w:link w:val="29"/>
    <w:uiPriority w:val="0"/>
    <w:rPr>
      <w:sz w:val="22"/>
      <w:u w:val="none" w:color="auto"/>
    </w:rPr>
  </w:style>
  <w:style w:type="character" w:styleId="24" w:customStyle="1">
    <w:name w:val="テーブルのキャプション|1_"/>
    <w:basedOn w:val="10"/>
    <w:next w:val="24"/>
    <w:link w:val="30"/>
    <w:uiPriority w:val="0"/>
    <w:rPr>
      <w:sz w:val="22"/>
      <w:u w:val="none" w:color="auto"/>
    </w:rPr>
  </w:style>
  <w:style w:type="paragraph" w:styleId="25" w:customStyle="1">
    <w:name w:val="本文|2"/>
    <w:basedOn w:val="0"/>
    <w:next w:val="25"/>
    <w:link w:val="19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0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dstrike w:val="0"/>
      <w:color w:val="000000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 w:customStyle="1">
    <w:name w:val="見出し #1|1"/>
    <w:basedOn w:val="0"/>
    <w:next w:val="26"/>
    <w:link w:val="20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00" w:afterLines="0" w:afterAutospacing="0" w:line="240" w:lineRule="auto"/>
      <w:ind w:leftChars="0" w:rightChars="0" w:firstLineChars="0"/>
      <w:contextualSpacing w:val="0"/>
      <w:mirrorIndents w:val="0"/>
      <w:jc w:val="center"/>
      <w:outlineLvl w:val="0"/>
      <w15:collapsed w:val="0"/>
    </w:pPr>
    <w:rPr>
      <w:rFonts w:ascii="ＭＳ ゴシック" w:hAnsi="ＭＳ ゴシック" w:eastAsia="ＭＳ ゴシック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見出し #2|1"/>
    <w:basedOn w:val="0"/>
    <w:next w:val="27"/>
    <w:link w:val="21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0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ゴシック" w:hAnsi="ＭＳ ゴシック" w:eastAsia="ＭＳ ゴシック"/>
      <w:dstrike w:val="0"/>
      <w:color w:val="000000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8" w:customStyle="1">
    <w:name w:val="本文|4"/>
    <w:basedOn w:val="0"/>
    <w:next w:val="28"/>
    <w:link w:val="22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260"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dstrike w:val="0"/>
      <w:color w:val="000000"/>
      <w:w w:val="100"/>
      <w:sz w:val="13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9" w:customStyle="1">
    <w:name w:val="本文|1"/>
    <w:basedOn w:val="0"/>
    <w:next w:val="29"/>
    <w:link w:val="23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8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dstrike w:val="0"/>
      <w:color w:val="000000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0" w:customStyle="1">
    <w:name w:val="テーブルのキャプション|1"/>
    <w:basedOn w:val="0"/>
    <w:next w:val="30"/>
    <w:link w:val="24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4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dstrike w:val="0"/>
      <w:color w:val="000000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1" w:customStyle="1">
    <w:name w:val="画像のキャプション|1_"/>
    <w:basedOn w:val="10"/>
    <w:next w:val="31"/>
    <w:link w:val="32"/>
    <w:uiPriority w:val="0"/>
    <w:rPr>
      <w:sz w:val="16"/>
      <w:u w:val="none" w:color="auto"/>
    </w:rPr>
  </w:style>
  <w:style w:type="paragraph" w:styleId="32" w:customStyle="1">
    <w:name w:val="画像のキャプション|1"/>
    <w:basedOn w:val="0"/>
    <w:next w:val="32"/>
    <w:link w:val="31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70" w:afterLines="0" w:afterAutospacing="0" w:line="240" w:lineRule="auto"/>
      <w:ind w:left="130"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dstrike w:val="0"/>
      <w:color w:val="000000"/>
      <w:w w:val="100"/>
      <w:sz w:val="1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425</TotalTime>
  <Pages>4</Pages>
  <Words>102</Words>
  <Characters>1773</Characters>
  <Application>JUST Note</Application>
  <Lines>1147</Lines>
  <Paragraphs>163</Paragraphs>
  <CharactersWithSpaces>1791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J20002</cp:lastModifiedBy>
  <dcterms:modified xsi:type="dcterms:W3CDTF">2023-12-26T01:50:06Z</dcterms:modified>
  <cp:revision>23</cp:revision>
</cp:coreProperties>
</file>