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FA" w:rsidRPr="00906128" w:rsidRDefault="00906128" w:rsidP="00906128">
      <w:r>
        <w:rPr>
          <w:rFonts w:hint="eastAsia"/>
        </w:rPr>
        <w:t>笠岡市低入札価格調査試行要領</w:t>
      </w:r>
      <w:r w:rsidR="000F0DB6">
        <w:rPr>
          <w:rFonts w:ascii="ＭＳ 明朝" w:hAnsi="ＭＳ 明朝" w:cs="ＭＳ 明朝" w:hint="eastAsia"/>
          <w:color w:val="000000"/>
          <w:kern w:val="0"/>
          <w:szCs w:val="21"/>
        </w:rPr>
        <w:t>の新旧対照表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834FFA">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834FFA" w:rsidRDefault="000F0DB6">
            <w:pPr>
              <w:wordWrap w:val="0"/>
              <w:autoSpaceDE w:val="0"/>
              <w:autoSpaceDN w:val="0"/>
              <w:adjustRightInd w:val="0"/>
              <w:spacing w:line="210" w:lineRule="atLeast"/>
              <w:ind w:left="20"/>
              <w:jc w:val="center"/>
              <w:rPr>
                <w:rFonts w:ascii="ＭＳ 明朝" w:hAnsi="ＭＳ 明朝" w:cs="ＭＳ 明朝"/>
                <w:color w:val="000000"/>
                <w:kern w:val="0"/>
                <w:szCs w:val="21"/>
              </w:rPr>
            </w:pPr>
            <w:r>
              <w:rPr>
                <w:rFonts w:ascii="ＭＳ 明朝" w:hAnsi="ＭＳ 明朝" w:cs="ＭＳ 明朝" w:hint="eastAsia"/>
                <w:color w:val="000000"/>
                <w:kern w:val="0"/>
                <w:szCs w:val="21"/>
              </w:rPr>
              <w:t>改正後</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rsidR="00834FFA" w:rsidRDefault="000F0DB6">
            <w:pPr>
              <w:wordWrap w:val="0"/>
              <w:autoSpaceDE w:val="0"/>
              <w:autoSpaceDN w:val="0"/>
              <w:adjustRightInd w:val="0"/>
              <w:spacing w:line="210" w:lineRule="atLeast"/>
              <w:ind w:left="20"/>
              <w:jc w:val="center"/>
              <w:rPr>
                <w:rFonts w:ascii="ＭＳ 明朝" w:hAnsi="ＭＳ 明朝" w:cs="ＭＳ 明朝"/>
                <w:color w:val="000000"/>
                <w:kern w:val="0"/>
                <w:szCs w:val="21"/>
              </w:rPr>
            </w:pPr>
            <w:r>
              <w:rPr>
                <w:rFonts w:ascii="ＭＳ 明朝" w:hAnsi="ＭＳ 明朝" w:cs="ＭＳ 明朝" w:hint="eastAsia"/>
                <w:color w:val="000000"/>
                <w:kern w:val="0"/>
                <w:szCs w:val="21"/>
              </w:rPr>
              <w:t>改正前</w:t>
            </w:r>
          </w:p>
        </w:tc>
      </w:tr>
      <w:tr w:rsidR="00B62D9B" w:rsidTr="00B62D9B">
        <w:trPr>
          <w:trHeight w:val="2186"/>
        </w:trPr>
        <w:tc>
          <w:tcPr>
            <w:tcW w:w="6718"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437211" w:rsidRPr="0064599F" w:rsidRDefault="00437211" w:rsidP="00437211">
            <w:pPr>
              <w:ind w:firstLineChars="100" w:firstLine="210"/>
            </w:pPr>
            <w:r w:rsidRPr="0064599F">
              <w:rPr>
                <w:rFonts w:hint="eastAsia"/>
              </w:rPr>
              <w:t>（調査基準価格）</w:t>
            </w:r>
          </w:p>
          <w:p w:rsidR="00437211" w:rsidRDefault="00437211" w:rsidP="00437211">
            <w:pPr>
              <w:ind w:left="210" w:hangingChars="100" w:hanging="210"/>
            </w:pPr>
            <w:r w:rsidRPr="0064599F">
              <w:rPr>
                <w:rFonts w:hint="eastAsia"/>
              </w:rPr>
              <w:t xml:space="preserve">第３条　</w:t>
            </w:r>
            <w:r w:rsidR="005957BB">
              <w:rPr>
                <w:rFonts w:hint="eastAsia"/>
              </w:rPr>
              <w:t>（</w:t>
            </w:r>
            <w:r>
              <w:rPr>
                <w:rFonts w:hint="eastAsia"/>
              </w:rPr>
              <w:t>省略</w:t>
            </w:r>
            <w:r w:rsidR="005957BB">
              <w:rPr>
                <w:rFonts w:hint="eastAsia"/>
              </w:rPr>
              <w:t>）</w:t>
            </w:r>
          </w:p>
          <w:p w:rsidR="005F3B74" w:rsidRPr="00A94ADA" w:rsidRDefault="005F3B74" w:rsidP="005F3B74">
            <w:pPr>
              <w:ind w:left="210" w:hangingChars="100" w:hanging="210"/>
            </w:pPr>
            <w:r w:rsidRPr="00A94ADA">
              <w:rPr>
                <w:rFonts w:hint="eastAsia"/>
              </w:rPr>
              <w:t>２　低入札価格調査基準率は，対象工事の予定価格算出の基礎となった額を用いて，次に掲げる計算式により算定した率の小数点第２位以下を切り上げた率（その率が</w:t>
            </w:r>
            <w:r w:rsidRPr="005F3B74">
              <w:rPr>
                <w:rFonts w:hint="eastAsia"/>
                <w:u w:val="single"/>
              </w:rPr>
              <w:t>０．９２</w:t>
            </w:r>
            <w:r w:rsidRPr="005F3B74">
              <w:rPr>
                <w:rFonts w:hint="eastAsia"/>
              </w:rPr>
              <w:t>を超える場合は</w:t>
            </w:r>
            <w:r w:rsidRPr="005F3B74">
              <w:rPr>
                <w:rFonts w:hint="eastAsia"/>
                <w:u w:val="single"/>
              </w:rPr>
              <w:t>０．９２</w:t>
            </w:r>
            <w:r w:rsidRPr="005F3B74">
              <w:rPr>
                <w:rFonts w:hint="eastAsia"/>
              </w:rPr>
              <w:t>とし，</w:t>
            </w:r>
            <w:r w:rsidRPr="005F3B74">
              <w:rPr>
                <w:rFonts w:hint="eastAsia"/>
                <w:u w:val="single"/>
              </w:rPr>
              <w:t>０．７５</w:t>
            </w:r>
            <w:r w:rsidRPr="005F3B74">
              <w:rPr>
                <w:rFonts w:hint="eastAsia"/>
              </w:rPr>
              <w:t>を下回る場合は</w:t>
            </w:r>
            <w:r w:rsidRPr="005F3B74">
              <w:rPr>
                <w:rFonts w:hint="eastAsia"/>
                <w:u w:val="single"/>
              </w:rPr>
              <w:t>０．７５</w:t>
            </w:r>
            <w:r w:rsidRPr="005F3B74">
              <w:rPr>
                <w:rFonts w:hint="eastAsia"/>
              </w:rPr>
              <w:t>とする。）とする。</w:t>
            </w:r>
          </w:p>
          <w:p w:rsidR="005F3B74" w:rsidRPr="00A94ADA" w:rsidRDefault="005F3B74" w:rsidP="005F3B74">
            <w:pPr>
              <w:ind w:left="210" w:hangingChars="100" w:hanging="210"/>
            </w:pPr>
            <w:r w:rsidRPr="00A94ADA">
              <w:rPr>
                <w:rFonts w:hint="eastAsia"/>
              </w:rPr>
              <w:t>３　前項の規定にかかわらず，市長が特に必要があると認めるときは，調査基準価格を予定価格から消費税及び地方消費税相当額を除いた額</w:t>
            </w:r>
            <w:r w:rsidRPr="005F3B74">
              <w:rPr>
                <w:rFonts w:hint="eastAsia"/>
              </w:rPr>
              <w:t>に</w:t>
            </w:r>
            <w:r w:rsidRPr="005F3B74">
              <w:rPr>
                <w:rFonts w:hint="eastAsia"/>
                <w:u w:val="single"/>
              </w:rPr>
              <w:t>０．７５</w:t>
            </w:r>
            <w:r w:rsidRPr="005F3B74">
              <w:rPr>
                <w:rFonts w:hint="eastAsia"/>
              </w:rPr>
              <w:t>を乗じて得た額から</w:t>
            </w:r>
            <w:r w:rsidRPr="005F3B74">
              <w:rPr>
                <w:rFonts w:hint="eastAsia"/>
                <w:u w:val="single"/>
              </w:rPr>
              <w:t>０．９２</w:t>
            </w:r>
            <w:r w:rsidRPr="005F3B74">
              <w:rPr>
                <w:rFonts w:hint="eastAsia"/>
              </w:rPr>
              <w:t>を乗じて得た額までの範囲で適宜定めることができるものとする。</w:t>
            </w:r>
          </w:p>
          <w:p w:rsidR="002419A9" w:rsidRPr="005F3B74" w:rsidRDefault="002419A9" w:rsidP="005F3B74">
            <w:pPr>
              <w:ind w:left="210" w:hangingChars="100" w:hanging="210"/>
            </w:pPr>
          </w:p>
          <w:p w:rsidR="00B76C17" w:rsidRPr="0064599F" w:rsidRDefault="00B76C17" w:rsidP="00B76C17">
            <w:pPr>
              <w:ind w:firstLineChars="100" w:firstLine="210"/>
            </w:pPr>
            <w:r w:rsidRPr="0064599F">
              <w:rPr>
                <w:rFonts w:hint="eastAsia"/>
              </w:rPr>
              <w:t>（失格基準価格）</w:t>
            </w:r>
          </w:p>
          <w:p w:rsidR="00B76C17" w:rsidRPr="002419A9" w:rsidRDefault="00B76C17" w:rsidP="00B76C17">
            <w:pPr>
              <w:ind w:left="210" w:hangingChars="100" w:hanging="210"/>
            </w:pPr>
            <w:r w:rsidRPr="002419A9">
              <w:rPr>
                <w:rFonts w:hint="eastAsia"/>
              </w:rPr>
              <w:t xml:space="preserve">第６条　</w:t>
            </w:r>
            <w:r>
              <w:rPr>
                <w:rFonts w:hint="eastAsia"/>
              </w:rPr>
              <w:t>（</w:t>
            </w:r>
            <w:r w:rsidRPr="002419A9">
              <w:rPr>
                <w:rFonts w:hint="eastAsia"/>
              </w:rPr>
              <w:t>省略</w:t>
            </w:r>
            <w:r>
              <w:rPr>
                <w:rFonts w:hint="eastAsia"/>
              </w:rPr>
              <w:t>）</w:t>
            </w:r>
          </w:p>
          <w:p w:rsidR="002C25FE" w:rsidRDefault="00B76C17" w:rsidP="00B76C17">
            <w:pPr>
              <w:ind w:left="210" w:hangingChars="100" w:hanging="210"/>
            </w:pPr>
            <w:r w:rsidRPr="00A94ADA">
              <w:rPr>
                <w:rFonts w:hint="eastAsia"/>
              </w:rPr>
              <w:t>２　失格基準率は，対象工事の予定価格算出の基礎となった額を用いて，次に掲げる計算式により算定した率の小数点第２位以下を切り上げた率（その率が</w:t>
            </w:r>
            <w:r w:rsidRPr="00B76C17">
              <w:rPr>
                <w:rFonts w:hint="eastAsia"/>
                <w:u w:val="single"/>
              </w:rPr>
              <w:t>０．９２</w:t>
            </w:r>
            <w:r w:rsidRPr="00B76C17">
              <w:rPr>
                <w:rFonts w:hint="eastAsia"/>
              </w:rPr>
              <w:t>を超える場合は</w:t>
            </w:r>
            <w:r w:rsidRPr="00B76C17">
              <w:rPr>
                <w:rFonts w:hint="eastAsia"/>
                <w:u w:val="single"/>
              </w:rPr>
              <w:t>０．９２</w:t>
            </w:r>
            <w:r w:rsidRPr="00B76C17">
              <w:rPr>
                <w:rFonts w:hint="eastAsia"/>
              </w:rPr>
              <w:t>とし，</w:t>
            </w:r>
          </w:p>
          <w:p w:rsidR="00B76C17" w:rsidRPr="00A94ADA" w:rsidRDefault="00B76C17" w:rsidP="002C25FE">
            <w:pPr>
              <w:ind w:leftChars="100" w:left="210"/>
            </w:pPr>
            <w:bookmarkStart w:id="0" w:name="_GoBack"/>
            <w:bookmarkEnd w:id="0"/>
            <w:r w:rsidRPr="00B76C17">
              <w:rPr>
                <w:rFonts w:hint="eastAsia"/>
                <w:u w:val="single"/>
              </w:rPr>
              <w:t>０．７５</w:t>
            </w:r>
            <w:r w:rsidRPr="00B76C17">
              <w:rPr>
                <w:rFonts w:hint="eastAsia"/>
              </w:rPr>
              <w:t>を下回る場合は</w:t>
            </w:r>
            <w:r w:rsidRPr="00B76C17">
              <w:rPr>
                <w:rFonts w:hint="eastAsia"/>
                <w:u w:val="single"/>
              </w:rPr>
              <w:t>０．７５</w:t>
            </w:r>
            <w:r w:rsidRPr="00B76C17">
              <w:rPr>
                <w:rFonts w:hint="eastAsia"/>
              </w:rPr>
              <w:t>とする</w:t>
            </w:r>
            <w:r w:rsidRPr="00A94ADA">
              <w:rPr>
                <w:rFonts w:hint="eastAsia"/>
              </w:rPr>
              <w:t>。）とし，前項のＸには開札時の到達ミリ秒の１０の位の数字を，Ｙには開札時の到達ミリ秒の１の位の数字を，Ｚには開札時の到達ミリ秒の１００の位の数字を代入するものとする。</w:t>
            </w:r>
          </w:p>
          <w:p w:rsidR="00B76C17" w:rsidRPr="00A94ADA" w:rsidRDefault="00B76C17" w:rsidP="00B76C17">
            <w:pPr>
              <w:ind w:leftChars="100" w:left="210"/>
            </w:pPr>
            <w:r w:rsidRPr="00A94ADA">
              <w:rPr>
                <w:rFonts w:hint="eastAsia"/>
              </w:rPr>
              <w:t>（直接工事費×０．９２＋共通仮設費×０．８５＋現場管理費×０．８５＋一般管理費</w:t>
            </w:r>
          </w:p>
          <w:p w:rsidR="00B76C17" w:rsidRPr="0064599F" w:rsidRDefault="00B76C17" w:rsidP="00B76C17">
            <w:pPr>
              <w:ind w:leftChars="100" w:left="210"/>
              <w:rPr>
                <w:rFonts w:hint="eastAsia"/>
              </w:rPr>
            </w:pPr>
            <w:r w:rsidRPr="00A94ADA">
              <w:rPr>
                <w:rFonts w:hint="eastAsia"/>
              </w:rPr>
              <w:t>×０．５）÷予定価格（消費税及び地方消費税相当額を除く）</w:t>
            </w:r>
          </w:p>
          <w:p w:rsidR="00B76C17" w:rsidRDefault="00B76C17" w:rsidP="00B76C17">
            <w:pPr>
              <w:ind w:left="210" w:hangingChars="100" w:hanging="210"/>
              <w:rPr>
                <w:rFonts w:hint="eastAsia"/>
              </w:rPr>
            </w:pPr>
            <w:r>
              <w:rPr>
                <w:rFonts w:hint="eastAsia"/>
              </w:rPr>
              <w:t>３　（省略）</w:t>
            </w:r>
          </w:p>
          <w:p w:rsidR="005F3B74" w:rsidRDefault="005F3B74" w:rsidP="005F3B74">
            <w:pPr>
              <w:ind w:left="210" w:hangingChars="100" w:hanging="210"/>
            </w:pPr>
          </w:p>
          <w:p w:rsidR="005F3B74" w:rsidRDefault="005F3B74" w:rsidP="005F3B74">
            <w:pPr>
              <w:ind w:left="210" w:hangingChars="100" w:hanging="210"/>
            </w:pPr>
          </w:p>
          <w:p w:rsidR="005F3B74" w:rsidRDefault="005F3B74" w:rsidP="005F3B74">
            <w:pPr>
              <w:ind w:left="210" w:hangingChars="100" w:hanging="210"/>
            </w:pPr>
          </w:p>
          <w:p w:rsidR="00D42C13" w:rsidRPr="00437211" w:rsidRDefault="00D42C13" w:rsidP="00B76C17">
            <w:pPr>
              <w:rPr>
                <w:rFonts w:ascii="ＭＳ 明朝" w:hAnsi="ＭＳ 明朝" w:cs="ＭＳ 明朝"/>
                <w:color w:val="000000"/>
                <w:kern w:val="0"/>
                <w:szCs w:val="21"/>
              </w:rPr>
            </w:pPr>
          </w:p>
        </w:tc>
        <w:tc>
          <w:tcPr>
            <w:tcW w:w="6718" w:type="dxa"/>
            <w:tcBorders>
              <w:top w:val="nil"/>
              <w:left w:val="nil"/>
              <w:bottom w:val="single" w:sz="4" w:space="0" w:color="auto"/>
              <w:right w:val="single" w:sz="4" w:space="0" w:color="000000"/>
            </w:tcBorders>
            <w:tcMar>
              <w:top w:w="22" w:type="dxa"/>
              <w:left w:w="102" w:type="dxa"/>
              <w:bottom w:w="22" w:type="dxa"/>
              <w:right w:w="102" w:type="dxa"/>
            </w:tcMar>
          </w:tcPr>
          <w:p w:rsidR="00437211" w:rsidRPr="0064599F" w:rsidRDefault="00437211" w:rsidP="00437211">
            <w:pPr>
              <w:ind w:firstLineChars="100" w:firstLine="210"/>
            </w:pPr>
            <w:r w:rsidRPr="0064599F">
              <w:rPr>
                <w:rFonts w:hint="eastAsia"/>
              </w:rPr>
              <w:t>（調査基準価格）</w:t>
            </w:r>
          </w:p>
          <w:p w:rsidR="00437211" w:rsidRDefault="00437211" w:rsidP="00437211">
            <w:pPr>
              <w:ind w:left="210" w:hangingChars="100" w:hanging="210"/>
            </w:pPr>
            <w:r w:rsidRPr="0064599F">
              <w:rPr>
                <w:rFonts w:hint="eastAsia"/>
              </w:rPr>
              <w:t xml:space="preserve">第３条　</w:t>
            </w:r>
            <w:r w:rsidR="005957BB">
              <w:rPr>
                <w:rFonts w:hint="eastAsia"/>
              </w:rPr>
              <w:t>（</w:t>
            </w:r>
            <w:r>
              <w:rPr>
                <w:rFonts w:hint="eastAsia"/>
              </w:rPr>
              <w:t>省略</w:t>
            </w:r>
            <w:r w:rsidR="005957BB">
              <w:rPr>
                <w:rFonts w:hint="eastAsia"/>
              </w:rPr>
              <w:t>）</w:t>
            </w:r>
          </w:p>
          <w:p w:rsidR="005F3B74" w:rsidRPr="00A94ADA" w:rsidRDefault="005F3B74" w:rsidP="005F3B74">
            <w:pPr>
              <w:ind w:left="210" w:hangingChars="100" w:hanging="210"/>
            </w:pPr>
            <w:r w:rsidRPr="00A94ADA">
              <w:rPr>
                <w:rFonts w:hint="eastAsia"/>
              </w:rPr>
              <w:t>２　低入札価格調査基準率は，対象工事の予定価格算出の基礎となった額を用いて，次に掲げる計算式により算定した率の小数点第２位以下を切り上げた率（その率が</w:t>
            </w:r>
            <w:r w:rsidRPr="005F3B74">
              <w:rPr>
                <w:rFonts w:hint="eastAsia"/>
                <w:u w:val="single"/>
              </w:rPr>
              <w:t>０．９</w:t>
            </w:r>
            <w:r w:rsidRPr="005F3B74">
              <w:rPr>
                <w:rFonts w:hint="eastAsia"/>
              </w:rPr>
              <w:t>を超える場合は</w:t>
            </w:r>
            <w:r w:rsidRPr="005F3B74">
              <w:rPr>
                <w:rFonts w:hint="eastAsia"/>
                <w:u w:val="single"/>
              </w:rPr>
              <w:t>０．９</w:t>
            </w:r>
            <w:r w:rsidRPr="005F3B74">
              <w:rPr>
                <w:rFonts w:hint="eastAsia"/>
              </w:rPr>
              <w:t>とし，</w:t>
            </w:r>
            <w:r w:rsidRPr="005F3B74">
              <w:rPr>
                <w:rFonts w:hint="eastAsia"/>
                <w:u w:val="single"/>
              </w:rPr>
              <w:t>０．７</w:t>
            </w:r>
            <w:r w:rsidRPr="005F3B74">
              <w:rPr>
                <w:rFonts w:hint="eastAsia"/>
              </w:rPr>
              <w:t>を下回る場合は</w:t>
            </w:r>
            <w:r w:rsidRPr="005F3B74">
              <w:rPr>
                <w:rFonts w:hint="eastAsia"/>
                <w:u w:val="single"/>
              </w:rPr>
              <w:t>０．７</w:t>
            </w:r>
            <w:r w:rsidRPr="005F3B74">
              <w:rPr>
                <w:rFonts w:hint="eastAsia"/>
              </w:rPr>
              <w:t>とする。）とする。</w:t>
            </w:r>
          </w:p>
          <w:p w:rsidR="005F3B74" w:rsidRPr="00A94ADA" w:rsidRDefault="005F3B74" w:rsidP="005F3B74">
            <w:pPr>
              <w:ind w:left="210" w:hangingChars="100" w:hanging="210"/>
            </w:pPr>
            <w:r w:rsidRPr="00A94ADA">
              <w:rPr>
                <w:rFonts w:hint="eastAsia"/>
              </w:rPr>
              <w:t>３　前項の規定にかかわらず，市長が特に必要があると認めるときは，調査基準価格を予定価格から消費税及び地方消費税相当額を除いた額に</w:t>
            </w:r>
            <w:r w:rsidRPr="005F3B74">
              <w:rPr>
                <w:rFonts w:hint="eastAsia"/>
                <w:u w:val="single"/>
              </w:rPr>
              <w:t>０．７</w:t>
            </w:r>
            <w:r w:rsidRPr="005F3B74">
              <w:rPr>
                <w:rFonts w:hint="eastAsia"/>
              </w:rPr>
              <w:t>を乗じて得た額から</w:t>
            </w:r>
            <w:r w:rsidRPr="005F3B74">
              <w:rPr>
                <w:rFonts w:hint="eastAsia"/>
                <w:u w:val="single"/>
              </w:rPr>
              <w:t>０．９</w:t>
            </w:r>
            <w:r w:rsidRPr="00A94ADA">
              <w:rPr>
                <w:rFonts w:hint="eastAsia"/>
              </w:rPr>
              <w:t>を乗じて得た額までの範囲で適宜定めることができるものとする。</w:t>
            </w:r>
          </w:p>
          <w:p w:rsidR="002419A9" w:rsidRDefault="002419A9" w:rsidP="00437211">
            <w:pPr>
              <w:rPr>
                <w:rFonts w:hint="eastAsia"/>
                <w:u w:val="single"/>
              </w:rPr>
            </w:pPr>
          </w:p>
          <w:p w:rsidR="002419A9" w:rsidRPr="0064599F" w:rsidRDefault="002419A9" w:rsidP="002419A9">
            <w:pPr>
              <w:ind w:firstLineChars="100" w:firstLine="210"/>
            </w:pPr>
            <w:r w:rsidRPr="0064599F">
              <w:rPr>
                <w:rFonts w:hint="eastAsia"/>
              </w:rPr>
              <w:t>（失格基準価格）</w:t>
            </w:r>
          </w:p>
          <w:p w:rsidR="002419A9" w:rsidRPr="002419A9" w:rsidRDefault="002419A9" w:rsidP="002419A9">
            <w:pPr>
              <w:ind w:left="210" w:hangingChars="100" w:hanging="210"/>
            </w:pPr>
            <w:r w:rsidRPr="002419A9">
              <w:rPr>
                <w:rFonts w:hint="eastAsia"/>
              </w:rPr>
              <w:t xml:space="preserve">第６条　</w:t>
            </w:r>
            <w:r w:rsidR="005957BB">
              <w:rPr>
                <w:rFonts w:hint="eastAsia"/>
              </w:rPr>
              <w:t>（</w:t>
            </w:r>
            <w:r w:rsidRPr="002419A9">
              <w:rPr>
                <w:rFonts w:hint="eastAsia"/>
              </w:rPr>
              <w:t>省略</w:t>
            </w:r>
            <w:r w:rsidR="005957BB">
              <w:rPr>
                <w:rFonts w:hint="eastAsia"/>
              </w:rPr>
              <w:t>）</w:t>
            </w:r>
          </w:p>
          <w:p w:rsidR="00B76C17" w:rsidRPr="00A94ADA" w:rsidRDefault="00B76C17" w:rsidP="00B76C17">
            <w:pPr>
              <w:ind w:left="210" w:hangingChars="100" w:hanging="210"/>
            </w:pPr>
            <w:r w:rsidRPr="00A94ADA">
              <w:rPr>
                <w:rFonts w:hint="eastAsia"/>
              </w:rPr>
              <w:t>２　失格基準率は，対象工事の予定価格算出の基礎となった額を用いて，次に掲げる計算式により算定した率の小数点第２位以下を切り上げた率（その率が</w:t>
            </w:r>
            <w:r w:rsidRPr="00B76C17">
              <w:rPr>
                <w:rFonts w:hint="eastAsia"/>
                <w:u w:val="single"/>
              </w:rPr>
              <w:t>０．９</w:t>
            </w:r>
            <w:r w:rsidRPr="00B76C17">
              <w:rPr>
                <w:rFonts w:hint="eastAsia"/>
              </w:rPr>
              <w:t>を超える場合は</w:t>
            </w:r>
            <w:r w:rsidRPr="00B76C17">
              <w:rPr>
                <w:rFonts w:hint="eastAsia"/>
                <w:u w:val="single"/>
              </w:rPr>
              <w:t>０．９</w:t>
            </w:r>
            <w:r w:rsidRPr="00B76C17">
              <w:rPr>
                <w:rFonts w:hint="eastAsia"/>
              </w:rPr>
              <w:t>とし，</w:t>
            </w:r>
            <w:r w:rsidRPr="00B76C17">
              <w:rPr>
                <w:rFonts w:hint="eastAsia"/>
                <w:u w:val="single"/>
              </w:rPr>
              <w:t>０．７</w:t>
            </w:r>
            <w:r w:rsidRPr="00B76C17">
              <w:rPr>
                <w:rFonts w:hint="eastAsia"/>
              </w:rPr>
              <w:t>を下回る場合は</w:t>
            </w:r>
            <w:r w:rsidRPr="00B76C17">
              <w:rPr>
                <w:rFonts w:hint="eastAsia"/>
                <w:u w:val="single"/>
              </w:rPr>
              <w:t>０．７</w:t>
            </w:r>
            <w:r w:rsidRPr="00B76C17">
              <w:rPr>
                <w:rFonts w:hint="eastAsia"/>
              </w:rPr>
              <w:t>とする。）とし，前項のＸには開札時の到達ミリ秒の１０の位の数字を，Ｙには開札時</w:t>
            </w:r>
            <w:r w:rsidRPr="00A94ADA">
              <w:rPr>
                <w:rFonts w:hint="eastAsia"/>
              </w:rPr>
              <w:t>の到達ミリ秒の１の位の数字を，Ｚには開札時の到達ミリ秒の１００の位の数字を代入するものとする。</w:t>
            </w:r>
          </w:p>
          <w:p w:rsidR="00B76C17" w:rsidRPr="00A94ADA" w:rsidRDefault="00B76C17" w:rsidP="00B76C17">
            <w:pPr>
              <w:ind w:leftChars="100" w:left="210"/>
            </w:pPr>
            <w:r w:rsidRPr="00A94ADA">
              <w:rPr>
                <w:rFonts w:hint="eastAsia"/>
              </w:rPr>
              <w:t>（直接工事費×０．９２＋共通仮設費×０．８５＋現場管理費×０．８５＋一般管理費</w:t>
            </w:r>
          </w:p>
          <w:p w:rsidR="002419A9" w:rsidRPr="0064599F" w:rsidRDefault="00B76C17" w:rsidP="00B76C17">
            <w:pPr>
              <w:ind w:leftChars="100" w:left="210"/>
              <w:rPr>
                <w:rFonts w:hint="eastAsia"/>
              </w:rPr>
            </w:pPr>
            <w:r w:rsidRPr="00A94ADA">
              <w:rPr>
                <w:rFonts w:hint="eastAsia"/>
              </w:rPr>
              <w:t>×０．５）÷予定価格（消費税及び地方消費税相当額を除く）</w:t>
            </w:r>
          </w:p>
          <w:p w:rsidR="002419A9" w:rsidRDefault="002419A9" w:rsidP="00B76C17">
            <w:pPr>
              <w:ind w:left="210" w:hangingChars="100" w:hanging="210"/>
              <w:rPr>
                <w:rFonts w:hint="eastAsia"/>
              </w:rPr>
            </w:pPr>
            <w:r>
              <w:rPr>
                <w:rFonts w:hint="eastAsia"/>
              </w:rPr>
              <w:t xml:space="preserve">３　</w:t>
            </w:r>
            <w:r w:rsidR="005957BB">
              <w:rPr>
                <w:rFonts w:hint="eastAsia"/>
              </w:rPr>
              <w:t>（</w:t>
            </w:r>
            <w:r>
              <w:rPr>
                <w:rFonts w:hint="eastAsia"/>
              </w:rPr>
              <w:t>省略</w:t>
            </w:r>
            <w:r w:rsidR="005957BB">
              <w:rPr>
                <w:rFonts w:hint="eastAsia"/>
              </w:rPr>
              <w:t>）</w:t>
            </w:r>
          </w:p>
          <w:p w:rsidR="002419A9" w:rsidRPr="002419A9" w:rsidRDefault="002419A9" w:rsidP="00437211">
            <w:pPr>
              <w:rPr>
                <w:rFonts w:ascii="ＭＳ 明朝" w:hAnsi="ＭＳ 明朝" w:cs="ＭＳ 明朝"/>
                <w:color w:val="000000"/>
                <w:kern w:val="0"/>
                <w:szCs w:val="21"/>
                <w:u w:val="single"/>
              </w:rPr>
            </w:pPr>
          </w:p>
        </w:tc>
      </w:tr>
    </w:tbl>
    <w:p w:rsidR="000F0DB6" w:rsidRDefault="000F0DB6">
      <w:pPr>
        <w:wordWrap w:val="0"/>
        <w:autoSpaceDE w:val="0"/>
        <w:autoSpaceDN w:val="0"/>
        <w:adjustRightInd w:val="0"/>
        <w:spacing w:line="420" w:lineRule="atLeast"/>
        <w:jc w:val="left"/>
        <w:rPr>
          <w:rFonts w:ascii="ＭＳ 明朝" w:hAnsi="ＭＳ 明朝" w:cs="ＭＳ 明朝"/>
          <w:color w:val="000000"/>
          <w:kern w:val="0"/>
          <w:szCs w:val="21"/>
        </w:rPr>
      </w:pPr>
      <w:bookmarkStart w:id="1" w:name="last"/>
      <w:bookmarkEnd w:id="1"/>
    </w:p>
    <w:sectPr w:rsidR="000F0DB6">
      <w:footerReference w:type="default" r:id="rId6"/>
      <w:pgSz w:w="16837" w:h="11905" w:orient="landscape"/>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20" w:rsidRDefault="00DB0E20">
      <w:r>
        <w:separator/>
      </w:r>
    </w:p>
  </w:endnote>
  <w:endnote w:type="continuationSeparator" w:id="0">
    <w:p w:rsidR="00DB0E20" w:rsidRDefault="00DB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A" w:rsidRDefault="000F0DB6">
    <w:pPr>
      <w:autoSpaceDE w:val="0"/>
      <w:autoSpaceDN w:val="0"/>
      <w:adjustRightInd w:val="0"/>
      <w:spacing w:line="240" w:lineRule="atLeast"/>
      <w:jc w:val="center"/>
      <w:rPr>
        <w:rFonts w:hAnsi="ＭＳ 明朝" w:cs="ＭＳ 明朝"/>
        <w:color w:val="000000"/>
        <w:kern w:val="0"/>
        <w:sz w:val="20"/>
        <w:szCs w:val="20"/>
      </w:rPr>
    </w:pPr>
    <w:r>
      <w:rPr>
        <w:rFonts w:hAnsi="ＭＳ 明朝" w:cs="ＭＳ 明朝"/>
        <w:color w:val="000000"/>
        <w:kern w:val="0"/>
        <w:sz w:val="20"/>
        <w:szCs w:val="20"/>
      </w:rPr>
      <w:pgNum/>
    </w:r>
    <w:r>
      <w:rPr>
        <w:rFonts w:hAnsi="ＭＳ 明朝" w:cs="ＭＳ 明朝"/>
        <w:color w:val="000000"/>
        <w:kern w:val="0"/>
        <w:sz w:val="20"/>
        <w:szCs w:val="20"/>
      </w:rPr>
      <w:t>/</w:t>
    </w:r>
    <w:r>
      <w:rPr>
        <w:rFonts w:hAnsi="ＭＳ 明朝" w:cs="ＭＳ 明朝"/>
        <w:color w:val="000000"/>
        <w:kern w:val="0"/>
        <w:sz w:val="20"/>
        <w:szCs w:val="20"/>
      </w:rPr>
      <w:fldChar w:fldCharType="begin"/>
    </w:r>
    <w:r>
      <w:rPr>
        <w:rFonts w:hAnsi="ＭＳ 明朝" w:cs="ＭＳ 明朝"/>
        <w:color w:val="000000"/>
        <w:kern w:val="0"/>
        <w:sz w:val="20"/>
        <w:szCs w:val="20"/>
      </w:rPr>
      <w:instrText xml:space="preserve"> PAGEREF "last"  </w:instrText>
    </w:r>
    <w:r>
      <w:rPr>
        <w:rFonts w:hAnsi="ＭＳ 明朝" w:cs="ＭＳ 明朝"/>
        <w:color w:val="000000"/>
        <w:kern w:val="0"/>
        <w:sz w:val="20"/>
        <w:szCs w:val="20"/>
      </w:rPr>
      <w:fldChar w:fldCharType="separate"/>
    </w:r>
    <w:r w:rsidR="002C25FE">
      <w:rPr>
        <w:rFonts w:hAnsi="ＭＳ 明朝" w:cs="ＭＳ 明朝"/>
        <w:noProof/>
        <w:color w:val="000000"/>
        <w:kern w:val="0"/>
        <w:sz w:val="20"/>
        <w:szCs w:val="20"/>
      </w:rPr>
      <w:t>1</w:t>
    </w:r>
    <w:r>
      <w:rPr>
        <w:rFonts w:hAnsi="ＭＳ 明朝" w:cs="ＭＳ 明朝"/>
        <w:color w:val="000000"/>
        <w:kern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20" w:rsidRDefault="00DB0E20">
      <w:r>
        <w:separator/>
      </w:r>
    </w:p>
  </w:footnote>
  <w:footnote w:type="continuationSeparator" w:id="0">
    <w:p w:rsidR="00DB0E20" w:rsidRDefault="00DB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333"/>
    <w:rsid w:val="00012946"/>
    <w:rsid w:val="00062009"/>
    <w:rsid w:val="00080722"/>
    <w:rsid w:val="000F0DB6"/>
    <w:rsid w:val="001041AF"/>
    <w:rsid w:val="001C174D"/>
    <w:rsid w:val="001F130C"/>
    <w:rsid w:val="002419A9"/>
    <w:rsid w:val="002C25FE"/>
    <w:rsid w:val="003B12C0"/>
    <w:rsid w:val="00401637"/>
    <w:rsid w:val="00437211"/>
    <w:rsid w:val="00567504"/>
    <w:rsid w:val="005957BB"/>
    <w:rsid w:val="005B6333"/>
    <w:rsid w:val="005F3B74"/>
    <w:rsid w:val="006A225C"/>
    <w:rsid w:val="00763D7E"/>
    <w:rsid w:val="007C6BAE"/>
    <w:rsid w:val="00834FFA"/>
    <w:rsid w:val="00884DD9"/>
    <w:rsid w:val="00906128"/>
    <w:rsid w:val="009666FD"/>
    <w:rsid w:val="00A21D60"/>
    <w:rsid w:val="00A50FAA"/>
    <w:rsid w:val="00B62D9B"/>
    <w:rsid w:val="00B631AC"/>
    <w:rsid w:val="00B76C17"/>
    <w:rsid w:val="00CE2DF0"/>
    <w:rsid w:val="00D42C13"/>
    <w:rsid w:val="00DB0E20"/>
    <w:rsid w:val="00DC2869"/>
    <w:rsid w:val="00E60FBB"/>
    <w:rsid w:val="00FE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BF584265-0E03-4A73-BEE5-CB6F6FA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333"/>
    <w:pPr>
      <w:tabs>
        <w:tab w:val="center" w:pos="4252"/>
        <w:tab w:val="right" w:pos="8504"/>
      </w:tabs>
      <w:snapToGrid w:val="0"/>
    </w:pPr>
  </w:style>
  <w:style w:type="character" w:customStyle="1" w:styleId="a4">
    <w:name w:val="ヘッダー (文字)"/>
    <w:basedOn w:val="a0"/>
    <w:link w:val="a3"/>
    <w:uiPriority w:val="99"/>
    <w:rsid w:val="005B6333"/>
  </w:style>
  <w:style w:type="paragraph" w:styleId="a5">
    <w:name w:val="footer"/>
    <w:basedOn w:val="a"/>
    <w:link w:val="a6"/>
    <w:uiPriority w:val="99"/>
    <w:unhideWhenUsed/>
    <w:rsid w:val="005B6333"/>
    <w:pPr>
      <w:tabs>
        <w:tab w:val="center" w:pos="4252"/>
        <w:tab w:val="right" w:pos="8504"/>
      </w:tabs>
      <w:snapToGrid w:val="0"/>
    </w:pPr>
  </w:style>
  <w:style w:type="character" w:customStyle="1" w:styleId="a6">
    <w:name w:val="フッター (文字)"/>
    <w:basedOn w:val="a0"/>
    <w:link w:val="a5"/>
    <w:uiPriority w:val="99"/>
    <w:rsid w:val="005B6333"/>
  </w:style>
  <w:style w:type="paragraph" w:styleId="a7">
    <w:name w:val="Balloon Text"/>
    <w:basedOn w:val="a"/>
    <w:link w:val="a8"/>
    <w:uiPriority w:val="99"/>
    <w:semiHidden/>
    <w:unhideWhenUsed/>
    <w:rsid w:val="00763D7E"/>
    <w:rPr>
      <w:rFonts w:ascii="Arial" w:eastAsia="ＭＳ ゴシック" w:hAnsi="Arial"/>
      <w:sz w:val="18"/>
      <w:szCs w:val="18"/>
    </w:rPr>
  </w:style>
  <w:style w:type="character" w:customStyle="1" w:styleId="a8">
    <w:name w:val="吹き出し (文字)"/>
    <w:link w:val="a7"/>
    <w:uiPriority w:val="99"/>
    <w:semiHidden/>
    <w:rsid w:val="00763D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1676">
      <w:bodyDiv w:val="1"/>
      <w:marLeft w:val="0"/>
      <w:marRight w:val="0"/>
      <w:marTop w:val="0"/>
      <w:marBottom w:val="0"/>
      <w:divBdr>
        <w:top w:val="none" w:sz="0" w:space="0" w:color="auto"/>
        <w:left w:val="none" w:sz="0" w:space="0" w:color="auto"/>
        <w:bottom w:val="none" w:sz="0" w:space="0" w:color="auto"/>
        <w:right w:val="none" w:sz="0" w:space="0" w:color="auto"/>
      </w:divBdr>
    </w:div>
    <w:div w:id="14229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J13012</dc:creator>
  <cp:keywords/>
  <dc:description/>
  <cp:lastModifiedBy>J15037</cp:lastModifiedBy>
  <cp:revision>21</cp:revision>
  <cp:lastPrinted>2019-05-24T01:49:00Z</cp:lastPrinted>
  <dcterms:created xsi:type="dcterms:W3CDTF">2016-08-24T11:41:00Z</dcterms:created>
  <dcterms:modified xsi:type="dcterms:W3CDTF">2019-05-24T01:52:00Z</dcterms:modified>
</cp:coreProperties>
</file>